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Times New Roman" w:hAnsi="Times New Roman"/>
          <w:sz w:val="24"/>
          <w:szCs w:val="24"/>
        </w:rPr>
      </w:pPr>
      <w:r>
        <w:rPr/>
        <w:drawing>
          <wp:inline distT="0" distB="0" distL="0" distR="0">
            <wp:extent cx="6505575" cy="962025"/>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 1"/>
                    <pic:cNvPicPr>
                      <a:picLocks noChangeAspect="1" noChangeArrowheads="1"/>
                    </pic:cNvPicPr>
                  </pic:nvPicPr>
                  <pic:blipFill>
                    <a:blip r:embed="rId2"/>
                    <a:stretch>
                      <a:fillRect/>
                    </a:stretch>
                  </pic:blipFill>
                  <pic:spPr bwMode="auto">
                    <a:xfrm>
                      <a:off x="0" y="0"/>
                      <a:ext cx="6505575" cy="962025"/>
                    </a:xfrm>
                    <a:prstGeom prst="rect">
                      <a:avLst/>
                    </a:prstGeom>
                    <a:noFill/>
                  </pic:spPr>
                </pic:pic>
              </a:graphicData>
            </a:graphic>
          </wp:inline>
        </w:drawing>
      </w:r>
    </w:p>
    <w:p>
      <w:pPr>
        <w:pStyle w:val="Normal"/>
        <w:bidi w:val="0"/>
        <w:jc w:val="start"/>
        <w:rPr>
          <w:rFonts w:ascii="Times New Roman" w:hAnsi="Times New Roman"/>
          <w:sz w:val="24"/>
          <w:szCs w:val="24"/>
        </w:rPr>
      </w:pPr>
      <w:r>
        <w:rPr>
          <w:rFonts w:ascii="Times New Roman" w:hAnsi="Times New Roman"/>
          <w:b/>
          <w:bCs/>
          <w:sz w:val="24"/>
          <w:szCs w:val="24"/>
        </w:rPr>
        <w:t>Nr._________/______________</w:t>
      </w:r>
    </w:p>
    <w:p>
      <w:pPr>
        <w:pStyle w:val="Normal"/>
        <w:bidi w:val="0"/>
        <w:jc w:val="center"/>
        <w:rPr>
          <w:rFonts w:ascii="Times New Roman" w:hAnsi="Times New Roman"/>
          <w:b/>
          <w:bCs/>
          <w:sz w:val="24"/>
          <w:szCs w:val="24"/>
        </w:rPr>
      </w:pPr>
      <w:r>
        <w:rPr>
          <w:rFonts w:ascii="Times New Roman" w:hAnsi="Times New Roman"/>
          <w:b/>
          <w:bCs/>
          <w:sz w:val="24"/>
          <w:szCs w:val="24"/>
        </w:rPr>
      </w:r>
    </w:p>
    <w:p>
      <w:pPr>
        <w:pStyle w:val="Normal"/>
        <w:bidi w:val="0"/>
        <w:jc w:val="center"/>
        <w:rPr>
          <w:rFonts w:ascii="Times New Roman" w:hAnsi="Times New Roman"/>
          <w:b/>
          <w:bCs/>
          <w:sz w:val="24"/>
          <w:szCs w:val="24"/>
        </w:rPr>
      </w:pPr>
      <w:r>
        <w:rPr>
          <w:rFonts w:ascii="Times New Roman" w:hAnsi="Times New Roman"/>
          <w:b/>
          <w:bCs/>
          <w:sz w:val="24"/>
          <w:szCs w:val="24"/>
        </w:rPr>
      </w:r>
    </w:p>
    <w:p>
      <w:pPr>
        <w:pStyle w:val="Normal"/>
        <w:bidi w:val="0"/>
        <w:jc w:val="center"/>
        <w:rPr>
          <w:rFonts w:ascii="Times New Roman" w:hAnsi="Times New Roman"/>
          <w:b/>
          <w:bCs/>
          <w:sz w:val="24"/>
          <w:szCs w:val="24"/>
        </w:rPr>
      </w:pPr>
      <w:r>
        <w:rPr>
          <w:rFonts w:ascii="Times New Roman" w:hAnsi="Times New Roman"/>
          <w:b/>
          <w:bCs/>
          <w:sz w:val="24"/>
          <w:szCs w:val="24"/>
        </w:rPr>
      </w:r>
    </w:p>
    <w:p>
      <w:pPr>
        <w:pStyle w:val="Normal"/>
        <w:bidi w:val="0"/>
        <w:jc w:val="center"/>
        <w:rPr>
          <w:rFonts w:ascii="Times New Roman" w:hAnsi="Times New Roman"/>
          <w:sz w:val="24"/>
          <w:szCs w:val="24"/>
        </w:rPr>
      </w:pPr>
      <w:r>
        <w:rPr>
          <w:rFonts w:ascii="Times New Roman" w:hAnsi="Times New Roman"/>
          <w:b/>
          <w:bCs/>
          <w:sz w:val="24"/>
          <w:szCs w:val="24"/>
        </w:rPr>
        <w:t>CAIET DE SARCINI</w:t>
      </w:r>
    </w:p>
    <w:p>
      <w:pPr>
        <w:pStyle w:val="Normal"/>
        <w:bidi w:val="0"/>
        <w:jc w:val="center"/>
        <w:rPr>
          <w:rFonts w:ascii="Times New Roman" w:hAnsi="Times New Roman"/>
          <w:sz w:val="24"/>
          <w:szCs w:val="24"/>
        </w:rPr>
      </w:pPr>
      <w:r>
        <w:rPr>
          <w:rFonts w:ascii="Times New Roman" w:hAnsi="Times New Roman"/>
          <w:sz w:val="24"/>
          <w:szCs w:val="24"/>
        </w:rPr>
        <w:t>pentru</w:t>
      </w:r>
    </w:p>
    <w:p>
      <w:pPr>
        <w:pStyle w:val="Normal"/>
        <w:bidi w:val="0"/>
        <w:jc w:val="center"/>
        <w:rPr>
          <w:rFonts w:ascii="Times New Roman" w:hAnsi="Times New Roman"/>
          <w:sz w:val="24"/>
          <w:szCs w:val="24"/>
        </w:rPr>
      </w:pPr>
      <w:r>
        <w:rPr>
          <w:rFonts w:ascii="Times New Roman" w:hAnsi="Times New Roman"/>
          <w:sz w:val="24"/>
          <w:szCs w:val="24"/>
        </w:rPr>
        <w:t>Achiziția a unui autovehicul nepoluant prin</w:t>
      </w:r>
    </w:p>
    <w:p>
      <w:pPr>
        <w:pStyle w:val="Normal"/>
        <w:bidi w:val="0"/>
        <w:jc w:val="center"/>
        <w:rPr>
          <w:rFonts w:ascii="Times New Roman" w:hAnsi="Times New Roman"/>
          <w:sz w:val="24"/>
          <w:szCs w:val="24"/>
        </w:rPr>
      </w:pPr>
      <w:r>
        <w:rPr>
          <w:rFonts w:ascii="Times New Roman" w:hAnsi="Times New Roman"/>
          <w:sz w:val="24"/>
          <w:szCs w:val="24"/>
        </w:rPr>
        <w:t>Programul privind reducerea emisiilor de gaze cu efect de sera în transporturi prin promovarea vehiculelor de transport rutier nepoluante și eficiente din punct de vedere energetic 2025-2030</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 xml:space="preserve">  </w:t>
      </w:r>
      <w:r>
        <w:rPr>
          <w:rFonts w:ascii="Times New Roman" w:hAnsi="Times New Roman"/>
          <w:b/>
          <w:bCs/>
          <w:sz w:val="24"/>
          <w:szCs w:val="24"/>
        </w:rPr>
        <w:t>I. lnformații generale</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1.1 Autoritatea contractanta</w:t>
      </w:r>
    </w:p>
    <w:p>
      <w:pPr>
        <w:pStyle w:val="Normal"/>
        <w:bidi w:val="0"/>
        <w:jc w:val="both"/>
        <w:rPr>
          <w:rFonts w:ascii="Times New Roman" w:hAnsi="Times New Roman"/>
          <w:sz w:val="24"/>
          <w:szCs w:val="24"/>
        </w:rPr>
      </w:pPr>
      <w:r>
        <w:rPr>
          <w:rFonts w:ascii="Times New Roman" w:hAnsi="Times New Roman"/>
          <w:sz w:val="24"/>
          <w:szCs w:val="24"/>
        </w:rPr>
        <w:t>Denumire: Opera Română Craiova</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Adresa: Str. Popoveni nr. 3C, Craiova, Dolj</w:t>
      </w:r>
    </w:p>
    <w:p>
      <w:pPr>
        <w:pStyle w:val="Normal"/>
        <w:bidi w:val="0"/>
        <w:jc w:val="both"/>
        <w:rPr>
          <w:rFonts w:ascii="Times New Roman" w:hAnsi="Times New Roman"/>
          <w:sz w:val="24"/>
          <w:szCs w:val="24"/>
        </w:rPr>
      </w:pPr>
      <w:r>
        <w:rPr>
          <w:rFonts w:ascii="Times New Roman" w:hAnsi="Times New Roman"/>
          <w:sz w:val="24"/>
          <w:szCs w:val="24"/>
        </w:rPr>
        <w:t>Cod fiscal: 4553186</w:t>
      </w:r>
    </w:p>
    <w:p>
      <w:pPr>
        <w:pStyle w:val="Normal"/>
        <w:bidi w:val="0"/>
        <w:jc w:val="both"/>
        <w:rPr>
          <w:rFonts w:ascii="Times New Roman" w:hAnsi="Times New Roman"/>
          <w:sz w:val="24"/>
          <w:szCs w:val="24"/>
        </w:rPr>
      </w:pPr>
      <w:r>
        <w:rPr>
          <w:rFonts w:ascii="Times New Roman" w:hAnsi="Times New Roman"/>
          <w:sz w:val="24"/>
          <w:szCs w:val="24"/>
        </w:rPr>
        <w:t>Telefon/E-mail: 0251418426/secretariat@operacraiova.com</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1.2 Sursa de finanțare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Achiziția este finațată din fonduri acordate de Administrația Fondului pentru Mediu, în baza contractului de finanțare nr. 2851/02.07.2026, dosarului de finanțare nr. RPUE01202541700152 depus in cadrul Programului privind reducerea emisiilor de gaze cu efect de seră în transporturi prin promovarea vehiculelor de transport rutier nepoluante și eficiente din punct de vedere energetic 2025-2030.</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1.3 Obiectul contractului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Furnizarea, livrarea, punerea în funcțiune și predarea a unui autovehicul nou, nepoluant, în stare de funcționare, însoțită de toate documentele prevăzute în documentatia de atribuire, eligibile conform prevederilor Programului Administrației Fondului pentru Mediu.</w:t>
      </w:r>
    </w:p>
    <w:p>
      <w:pPr>
        <w:pStyle w:val="Normal"/>
        <w:bidi w:val="0"/>
        <w:jc w:val="both"/>
        <w:rPr>
          <w:rFonts w:ascii="Times New Roman" w:hAnsi="Times New Roman"/>
          <w:sz w:val="24"/>
          <w:szCs w:val="24"/>
        </w:rPr>
      </w:pPr>
      <w:r>
        <w:rPr>
          <w:rFonts w:ascii="Times New Roman" w:hAnsi="Times New Roman"/>
          <w:sz w:val="24"/>
          <w:szCs w:val="24"/>
        </w:rPr>
        <w:t xml:space="preserve">   </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II. Necesitatea achiziției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b/>
        <w:t>Instituția utilizează autovehicule pentru desfășurarea activităților administrative și operaționale.</w:t>
      </w:r>
    </w:p>
    <w:p>
      <w:pPr>
        <w:pStyle w:val="Normal"/>
        <w:bidi w:val="0"/>
        <w:jc w:val="both"/>
        <w:rPr>
          <w:rFonts w:ascii="Times New Roman" w:hAnsi="Times New Roman"/>
          <w:sz w:val="24"/>
          <w:szCs w:val="24"/>
        </w:rPr>
      </w:pPr>
      <w:r>
        <w:rPr>
          <w:rFonts w:ascii="Times New Roman" w:hAnsi="Times New Roman"/>
          <w:sz w:val="24"/>
          <w:szCs w:val="24"/>
        </w:rPr>
        <w:t>Prin achiziția de vehicule nepoluante se urmărește:</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reducerea emisiilor de gaze cu efect de seră;</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reducerea costurilor de exploatare și  întreținere;</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creșterea eficienței energetice;</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îndeplinirea obiectivelor asumate prin contractul de finanțare Administrației Fondului pentru Mediu;</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alinierea la politicile europene și naționale privind mobilitatea verde.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III. Obiectul și cantitatea achiziției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Furnizarea  unui autovehicul nou, nepoluant. Vehiculul trebuie să fie:</w:t>
      </w:r>
    </w:p>
    <w:p>
      <w:pPr>
        <w:pStyle w:val="Normal"/>
        <w:numPr>
          <w:ilvl w:val="0"/>
          <w:numId w:val="4"/>
        </w:numPr>
        <w:bidi w:val="0"/>
        <w:jc w:val="both"/>
        <w:rPr>
          <w:rFonts w:ascii="Times New Roman" w:hAnsi="Times New Roman"/>
          <w:sz w:val="24"/>
          <w:szCs w:val="24"/>
        </w:rPr>
      </w:pPr>
      <w:r>
        <w:rPr>
          <w:rFonts w:ascii="Times New Roman" w:hAnsi="Times New Roman"/>
          <w:sz w:val="24"/>
          <w:szCs w:val="24"/>
        </w:rPr>
        <w:t>nou;</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neînmatriculat anterior;</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fără kilometraj de exploatare (exceptând testele de fabrică și transport);</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conform cu normele europene aplicabile la data livrării;</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în acest sens, ofertanții vor prezenta o declarație pe propria răspundere din care să rezulte îndeplinirea acestor cerințe.</w:t>
      </w:r>
    </w:p>
    <w:p>
      <w:pPr>
        <w:pStyle w:val="Normal"/>
        <w:bidi w:val="0"/>
        <w:jc w:val="both"/>
        <w:rPr>
          <w:rFonts w:ascii="Times New Roman" w:hAnsi="Times New Roman"/>
          <w:sz w:val="24"/>
          <w:szCs w:val="24"/>
        </w:rPr>
      </w:pPr>
      <w:r>
        <w:rPr>
          <w:rFonts w:ascii="Times New Roman" w:hAnsi="Times New Roman"/>
          <w:sz w:val="24"/>
          <w:szCs w:val="24"/>
        </w:rPr>
        <w:t xml:space="preserve">    </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b/>
          <w:bCs/>
          <w:sz w:val="24"/>
          <w:szCs w:val="24"/>
        </w:rPr>
        <w:t>IV. Cerințe tehnice minime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4.1 Clasificare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Categoria M1.</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Minimum 5 locuri.</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Minimum 4 uși.</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Caroserie tip hatchback.</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4.2. Propulsie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Vehiculul ofertat trebuie sa fie autovehicul nou, 100% electric, eligibil pentru finanțare, conform Programului Administrației Fondului pentru Mediu aplicabil la data achiziției.</w:t>
      </w:r>
    </w:p>
    <w:p>
      <w:pPr>
        <w:pStyle w:val="Normal"/>
        <w:bidi w:val="0"/>
        <w:jc w:val="both"/>
        <w:rPr>
          <w:rFonts w:ascii="Times New Roman" w:hAnsi="Times New Roman"/>
          <w:sz w:val="24"/>
          <w:szCs w:val="24"/>
        </w:rPr>
      </w:pPr>
      <w:r>
        <w:rPr>
          <w:rFonts w:ascii="Times New Roman" w:hAnsi="Times New Roman"/>
          <w:sz w:val="24"/>
          <w:szCs w:val="24"/>
        </w:rPr>
        <w:t>Cerințe minime:</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Emisii CO2 în exploatare: 0 g/km;</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Putere maximă netă a sistemului de propulsie: minimum 160 kW;</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Baterie de tracțiune cu capacitate utilă de minimum 54 kWh;</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Tip baterie:  LFP sau tehnologie echivalenta disponibilă la data livrarii;</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Autonomie combinata WLTP de minimum 400 km.</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Notă: Orice referire la standarde, norme, caracteristici sau soluții tehnice se va interpreta cu mențiunea ,,sau echivalent", în conformitate cu legislația privind achizițiile publice.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4.3. Performante energetice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Vehiculul trebuie să dispună de:</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Consum energetic declarat conform ciclului WLTP;</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Sistem de recuperare a energiei la frânare;</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Management electronic al bateriei;</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Moduri de conducere selectabile;</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Funcții de optimizare a consumului energetic.</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4.4. Încărcare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Vehiculul trebuie să permită:</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Încărcare AC cu putere minimă de 11 kW;</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Încărcare rapidă DC cu putere minimă de 80 kW;</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Utilizarea standardelor europene de încărcare;</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Încărcarea la stații publice și private;</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La livrare se vor asigura:</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Cablu de încărcare inclus;</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Conector conform standardelor europene.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4.5 Dimensiuni și funcționalitate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Portbagaj adecvat transportului echipamentelor și materialelor necesare activității instituției, cu volum minim 550 litri.</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Scaune spate rabatabile.</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Acces facil pentru transportul echipamentelor specifice activității instituției.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4.6 Siguranță</w:t>
      </w:r>
    </w:p>
    <w:p>
      <w:pPr>
        <w:pStyle w:val="Normal"/>
        <w:bidi w:val="0"/>
        <w:jc w:val="both"/>
        <w:rPr>
          <w:rFonts w:ascii="Times New Roman" w:hAnsi="Times New Roman"/>
          <w:sz w:val="24"/>
          <w:szCs w:val="24"/>
        </w:rPr>
      </w:pPr>
      <w:r>
        <w:rPr>
          <w:rFonts w:ascii="Times New Roman" w:hAnsi="Times New Roman"/>
          <w:sz w:val="24"/>
          <w:szCs w:val="24"/>
        </w:rPr>
        <w:t>Vehiculele trebuie să fie echipate cel puțin cu:</w:t>
      </w:r>
    </w:p>
    <w:p>
      <w:pPr>
        <w:pStyle w:val="Normal"/>
        <w:numPr>
          <w:ilvl w:val="0"/>
          <w:numId w:val="5"/>
        </w:numPr>
        <w:bidi w:val="0"/>
        <w:jc w:val="both"/>
        <w:rPr>
          <w:rFonts w:ascii="Times New Roman" w:hAnsi="Times New Roman"/>
          <w:sz w:val="24"/>
          <w:szCs w:val="24"/>
        </w:rPr>
      </w:pPr>
      <w:r>
        <w:rPr>
          <w:rFonts w:ascii="Times New Roman" w:hAnsi="Times New Roman"/>
          <w:sz w:val="24"/>
          <w:szCs w:val="24"/>
        </w:rPr>
        <w:t>ABS;</w:t>
      </w:r>
    </w:p>
    <w:p>
      <w:pPr>
        <w:pStyle w:val="Normal"/>
        <w:numPr>
          <w:ilvl w:val="0"/>
          <w:numId w:val="5"/>
        </w:numPr>
        <w:bidi w:val="0"/>
        <w:jc w:val="both"/>
        <w:rPr>
          <w:rFonts w:ascii="Times New Roman" w:hAnsi="Times New Roman"/>
          <w:sz w:val="24"/>
          <w:szCs w:val="24"/>
        </w:rPr>
      </w:pPr>
      <w:r>
        <w:rPr>
          <w:rFonts w:ascii="Times New Roman" w:hAnsi="Times New Roman"/>
          <w:sz w:val="24"/>
          <w:szCs w:val="24"/>
        </w:rPr>
        <w:t>ESP;</w:t>
      </w:r>
    </w:p>
    <w:p>
      <w:pPr>
        <w:pStyle w:val="Normal"/>
        <w:numPr>
          <w:ilvl w:val="0"/>
          <w:numId w:val="5"/>
        </w:numPr>
        <w:bidi w:val="0"/>
        <w:jc w:val="both"/>
        <w:rPr>
          <w:rFonts w:ascii="Times New Roman" w:hAnsi="Times New Roman"/>
          <w:sz w:val="24"/>
          <w:szCs w:val="24"/>
        </w:rPr>
      </w:pPr>
      <w:r>
        <w:rPr>
          <w:rFonts w:ascii="Times New Roman" w:hAnsi="Times New Roman"/>
          <w:sz w:val="24"/>
          <w:szCs w:val="24"/>
        </w:rPr>
        <w:t>EBD;</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Sistem de asistență la pornirea în rampă;</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Sistem de monitorizare a presiunii în pneuri;</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Airbag frontale duble șofer;</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Airbaguri laterale;</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Airbaguri cortină sau echivalent;</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Centuri de siguranță pentru toate locurile.</w:t>
      </w:r>
    </w:p>
    <w:p>
      <w:pPr>
        <w:pStyle w:val="Normal"/>
        <w:bidi w:val="0"/>
        <w:jc w:val="both"/>
        <w:rPr>
          <w:rFonts w:ascii="Times New Roman" w:hAnsi="Times New Roman"/>
          <w:sz w:val="24"/>
          <w:szCs w:val="24"/>
        </w:rPr>
      </w:pPr>
      <w:r>
        <w:rPr>
          <w:rFonts w:ascii="Times New Roman" w:hAnsi="Times New Roman"/>
          <w:sz w:val="24"/>
          <w:szCs w:val="24"/>
        </w:rPr>
        <w:t>De asemenea, se solicită prezența</w:t>
        <w:tab/>
        <w:t>unor sisteme moderne de asistență a conducerii, precum:</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Frânare automată de urgență;</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Avertizare la părăsirea benzii;</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Asistență pentru menținerea benzii;</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Recunoașterea indicatoarelor de circulație;</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Pilot automat adaptiv sau echivalent;</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4.7 Dotări de confort și conectivitate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Vehiculul trebuie să fie echipat minimum cu:</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climatizare automată;</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geamuri electrice față și spate;</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oglinzi exterioare reglabile electric și încălzite;</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închidere centralizată;</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acces :fără cheie sau sistem echivalent;</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computer de bord;</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ecran multimedia;</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conectivitate Bluetooth;</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porturi - minimum 2 porturi USB-C;</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compatibilitate Android Auto și/sau Apple CarPlay;</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camera video pentru mersul inapoi;</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senzori de parcare spate;</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volan reglabil;</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sistem audio;</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navigație integrată sau prin aplicație compatibilă cu sistemul multimedia.</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4.8 Culoare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Autovehiculul se va  livra în culoarea albastru metalizat.</w:t>
      </w:r>
    </w:p>
    <w:p>
      <w:pPr>
        <w:pStyle w:val="Normal"/>
        <w:bidi w:val="0"/>
        <w:jc w:val="both"/>
        <w:rPr>
          <w:rFonts w:ascii="Times New Roman" w:hAnsi="Times New Roman"/>
          <w:sz w:val="24"/>
          <w:szCs w:val="24"/>
        </w:rPr>
      </w:pPr>
      <w:r>
        <w:rPr>
          <w:rFonts w:ascii="Times New Roman" w:hAnsi="Times New Roman"/>
          <w:sz w:val="24"/>
          <w:szCs w:val="24"/>
        </w:rPr>
        <w:t>Culorile vor fi cele disponibile în gama standard a producatorului, fără costuri suplimentare pentru autoritatea contractantă.</w:t>
      </w:r>
    </w:p>
    <w:p>
      <w:pPr>
        <w:pStyle w:val="Normal"/>
        <w:bidi w:val="0"/>
        <w:jc w:val="both"/>
        <w:rPr>
          <w:rFonts w:ascii="Times New Roman" w:hAnsi="Times New Roman"/>
          <w:sz w:val="24"/>
          <w:szCs w:val="24"/>
        </w:rPr>
      </w:pPr>
      <w:r>
        <w:rPr>
          <w:rFonts w:ascii="Times New Roman" w:hAnsi="Times New Roman"/>
          <w:sz w:val="24"/>
          <w:szCs w:val="24"/>
        </w:rPr>
        <w:t>Nu se acceptă oferte alternative.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 xml:space="preserve">   </w:t>
      </w:r>
      <w:r>
        <w:rPr>
          <w:rFonts w:ascii="Times New Roman" w:hAnsi="Times New Roman"/>
          <w:b/>
          <w:bCs/>
          <w:sz w:val="24"/>
          <w:szCs w:val="24"/>
        </w:rPr>
        <w:t>V. Cerințe de mediu</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Ofertantul trebuie să demonstreze că vehiculele:</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sunt eligibile conform Programului Administrației Fondului pentru Mediu;</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respectă cerințele de omologare aplicabile în Uniunea Europeană;</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contribuie la reducerea emisiilor de gaze cu efect de seră;</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respectă toate cerințele legale privind vehiculele electrice.</w:t>
      </w:r>
    </w:p>
    <w:p>
      <w:pPr>
        <w:pStyle w:val="Normal"/>
        <w:bidi w:val="0"/>
        <w:jc w:val="both"/>
        <w:rPr>
          <w:rFonts w:ascii="Times New Roman" w:hAnsi="Times New Roman"/>
          <w:sz w:val="24"/>
          <w:szCs w:val="24"/>
        </w:rPr>
      </w:pPr>
      <w:r>
        <w:rPr>
          <w:rFonts w:ascii="Times New Roman" w:hAnsi="Times New Roman"/>
          <w:sz w:val="24"/>
          <w:szCs w:val="24"/>
        </w:rPr>
        <w:t>La ofertare se vor prezenta documentele justificative aferente.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 xml:space="preserve"> </w:t>
      </w:r>
      <w:r>
        <w:rPr>
          <w:rFonts w:ascii="Times New Roman" w:hAnsi="Times New Roman"/>
          <w:b/>
          <w:bCs/>
          <w:sz w:val="24"/>
          <w:szCs w:val="24"/>
        </w:rPr>
        <w:t>VI. Garanții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b/>
        <w:t>Garanția minimă a autovehiculului este de 36 luni sau 100.000 km, iar garanția minimă a pachetului de baterii este de 6 ani sau 150.000 km, aplicându-se limita care intervine prima.</w:t>
      </w:r>
    </w:p>
    <w:p>
      <w:pPr>
        <w:pStyle w:val="Normal"/>
        <w:bidi w:val="0"/>
        <w:jc w:val="both"/>
        <w:rPr>
          <w:rFonts w:ascii="Times New Roman" w:hAnsi="Times New Roman"/>
          <w:sz w:val="24"/>
          <w:szCs w:val="24"/>
        </w:rPr>
      </w:pPr>
      <w:r>
        <w:rPr>
          <w:rFonts w:ascii="Times New Roman" w:hAnsi="Times New Roman"/>
          <w:sz w:val="24"/>
          <w:szCs w:val="24"/>
        </w:rPr>
        <w:tab/>
        <w:t>Perioada de garanție începe de la data efectuarii recepției autoturismului (de la semnarea de către reprezentantul achizitorului și a reprezentantului furnizorului a procesului-verbal de receptie).</w:t>
      </w:r>
    </w:p>
    <w:p>
      <w:pPr>
        <w:pStyle w:val="Normal"/>
        <w:bidi w:val="0"/>
        <w:jc w:val="both"/>
        <w:rPr>
          <w:rFonts w:ascii="Times New Roman" w:hAnsi="Times New Roman"/>
          <w:sz w:val="24"/>
          <w:szCs w:val="24"/>
        </w:rPr>
      </w:pPr>
      <w:r>
        <w:rPr>
          <w:rFonts w:ascii="Times New Roman" w:hAnsi="Times New Roman"/>
          <w:sz w:val="24"/>
          <w:szCs w:val="24"/>
        </w:rPr>
        <w:tab/>
        <w:t>În perioada de garanție, furnizorul va asigura remedierea defecțiunilor conform</w:t>
      </w:r>
    </w:p>
    <w:p>
      <w:pPr>
        <w:pStyle w:val="Normal"/>
        <w:bidi w:val="0"/>
        <w:jc w:val="both"/>
        <w:rPr>
          <w:rFonts w:ascii="Times New Roman" w:hAnsi="Times New Roman"/>
          <w:sz w:val="24"/>
          <w:szCs w:val="24"/>
        </w:rPr>
      </w:pPr>
      <w:r>
        <w:rPr>
          <w:rFonts w:ascii="Times New Roman" w:hAnsi="Times New Roman"/>
          <w:sz w:val="24"/>
          <w:szCs w:val="24"/>
        </w:rPr>
        <w:t>conditiilor producătorului, fără costuri suplimentare pentru beneficiar, în ceea ce privește piesele și manopera acoperite de garanție.</w:t>
      </w:r>
    </w:p>
    <w:p>
      <w:pPr>
        <w:pStyle w:val="Normal"/>
        <w:bidi w:val="0"/>
        <w:jc w:val="both"/>
        <w:rPr>
          <w:rFonts w:ascii="Times New Roman" w:hAnsi="Times New Roman"/>
          <w:sz w:val="24"/>
          <w:szCs w:val="24"/>
        </w:rPr>
      </w:pPr>
      <w:r>
        <w:rPr>
          <w:rFonts w:ascii="Times New Roman" w:hAnsi="Times New Roman"/>
          <w:sz w:val="24"/>
          <w:szCs w:val="24"/>
        </w:rPr>
        <w:t>Ofertantul va prezenta graficul cu reviziile care vor fi efectuate în perioada de garanție acordată autoturismelor și lista cu unitățile service agreate de producător și autorizate de RAR disponibile pentru modelul ofertat și localizarea acestora pe teritoriul României, care va cuprinde datele de contact și de identificare.</w:t>
      </w:r>
    </w:p>
    <w:p>
      <w:pPr>
        <w:pStyle w:val="Normal"/>
        <w:bidi w:val="0"/>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b/>
          <w:bCs/>
          <w:sz w:val="24"/>
          <w:szCs w:val="24"/>
        </w:rPr>
      </w:pPr>
      <w:r>
        <w:rPr>
          <w:rFonts w:ascii="Times New Roman" w:hAnsi="Times New Roman"/>
          <w:b/>
          <w:bCs/>
          <w:sz w:val="24"/>
          <w:szCs w:val="24"/>
        </w:rPr>
        <w:t>VII. Criteriul de atribuire</w:t>
      </w:r>
    </w:p>
    <w:p>
      <w:pPr>
        <w:pStyle w:val="Normal"/>
        <w:jc w:val="both"/>
        <w:rPr>
          <w:rFonts w:ascii="Times New Roman" w:hAnsi="Times New Roman"/>
          <w:b/>
          <w:bCs/>
          <w:sz w:val="24"/>
          <w:szCs w:val="24"/>
        </w:rPr>
      </w:pPr>
      <w:r>
        <w:rPr>
          <w:rFonts w:ascii="Times New Roman" w:hAnsi="Times New Roman"/>
          <w:b/>
          <w:bCs/>
          <w:sz w:val="24"/>
          <w:szCs w:val="24"/>
        </w:rPr>
      </w:r>
    </w:p>
    <w:p>
      <w:pPr>
        <w:pStyle w:val="Normal"/>
        <w:jc w:val="both"/>
        <w:rPr>
          <w:rFonts w:ascii="Times New Roman" w:hAnsi="Times New Roman"/>
          <w:sz w:val="24"/>
          <w:szCs w:val="24"/>
        </w:rPr>
      </w:pPr>
      <w:r>
        <w:rPr>
          <w:rFonts w:ascii="Times New Roman" w:hAnsi="Times New Roman"/>
          <w:sz w:val="24"/>
          <w:szCs w:val="24"/>
        </w:rPr>
        <w:tab/>
        <w:t>În conformitate cu art. 187 din Legea nr. 98/2016 privind achizitiile publice, cu modificările și completările ulterioare, criteriul de atribuire este: ,,cel mai bun raport calitate-preț", care se va aplica ofertelor care îndeplinesc cerințele din prezentul caiet de sarcini.</w:t>
      </w:r>
    </w:p>
    <w:p>
      <w:pPr>
        <w:pStyle w:val="Normal"/>
        <w:jc w:val="both"/>
        <w:rPr>
          <w:rFonts w:ascii="Times New Roman" w:hAnsi="Times New Roman"/>
          <w:sz w:val="24"/>
          <w:szCs w:val="24"/>
        </w:rPr>
      </w:pPr>
      <w:r>
        <w:rPr>
          <w:rFonts w:ascii="Times New Roman" w:hAnsi="Times New Roman"/>
          <w:sz w:val="24"/>
          <w:szCs w:val="24"/>
        </w:rPr>
        <w:tab/>
        <w:t>Oferta câștigatoare, stabilită de către Comisia de evaluare, va fi oferta care întrunește punctajul cel mai mare rezultat din aplicarea algoritmului de calcul prevăzut mai jos.</w:t>
      </w:r>
    </w:p>
    <w:p>
      <w:pPr>
        <w:pStyle w:val="Normal"/>
        <w:jc w:val="both"/>
        <w:rPr>
          <w:rFonts w:ascii="Times New Roman" w:hAnsi="Times New Roman"/>
          <w:sz w:val="24"/>
          <w:szCs w:val="24"/>
        </w:rPr>
      </w:pPr>
      <w:r>
        <w:rPr>
          <w:rFonts w:ascii="Times New Roman" w:hAnsi="Times New Roman"/>
          <w:sz w:val="24"/>
          <w:szCs w:val="24"/>
        </w:rPr>
        <w:tab/>
        <w:t>Evaluarea ofertelor se bazeaza pe metoda punctelor de calitate. Metoda presupune alocarea unui număr de puncte pentru fiecare factor de evaluare, conform tabelului de mai jos. Punctajul maxim acordat este de 100 puncte.</w:t>
      </w:r>
    </w:p>
    <w:p>
      <w:pPr>
        <w:pStyle w:val="Normal"/>
        <w:jc w:val="both"/>
        <w:rPr>
          <w:rFonts w:ascii="Times New Roman" w:hAnsi="Times New Roman"/>
          <w:sz w:val="24"/>
          <w:szCs w:val="24"/>
        </w:rPr>
      </w:pPr>
      <w:r>
        <w:rPr>
          <w:rFonts w:ascii="Times New Roman" w:hAnsi="Times New Roman"/>
          <w:sz w:val="24"/>
          <w:szCs w:val="24"/>
        </w:rPr>
        <w:tab/>
        <w:t>În cazul în care două sau mai multe oferte sunt clasate pe primul loc, cu punctaje egale, departajarea se va face având în vedere punctajul obținut la factorii de evaluare în ordinea descrescătoare a ponderilor acestora. În situația în care egalitatea se menține, autoritatea contractantă are dreptul să solicite noi propuneri financiare și oferta câștigătoare va fi desemnata cea cu propunerea financiară cea mai mică (conform art. 139 (3) din H.G. 395/2016).</w:t>
      </w:r>
    </w:p>
    <w:p>
      <w:pPr>
        <w:pStyle w:val="Normal"/>
        <w:jc w:val="both"/>
        <w:rPr>
          <w:rFonts w:ascii="Times New Roman" w:hAnsi="Times New Roman"/>
          <w:sz w:val="24"/>
          <w:szCs w:val="24"/>
        </w:rPr>
      </w:pPr>
      <w:r>
        <w:rPr>
          <w:rFonts w:ascii="Times New Roman" w:hAnsi="Times New Roman"/>
          <w:sz w:val="24"/>
          <w:szCs w:val="24"/>
        </w:rPr>
        <w:tab/>
        <w:t>Componenta financiară reflecta costurile de achiziționare. Sub-factorii de evaluare pentru componenta tehnică includ elementele de mai jos.</w:t>
      </w:r>
    </w:p>
    <w:p>
      <w:pPr>
        <w:pStyle w:val="Normal"/>
        <w:jc w:val="both"/>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0" w:type="dxa"/>
          <w:start w:w="0" w:type="dxa"/>
          <w:bottom w:w="0" w:type="dxa"/>
          <w:end w:w="0" w:type="dxa"/>
        </w:tblCellMar>
      </w:tblPr>
      <w:tblGrid>
        <w:gridCol w:w="473"/>
        <w:gridCol w:w="6291"/>
        <w:gridCol w:w="3391"/>
      </w:tblGrid>
      <w:tr>
        <w:trPr/>
        <w:tc>
          <w:tcPr>
            <w:tcW w:w="473" w:type="dxa"/>
            <w:tcBorders>
              <w:top w:val="single" w:sz="16" w:space="0" w:color="000000"/>
              <w:bottom w:val="single" w:sz="6" w:space="0" w:color="000000"/>
            </w:tcBorders>
          </w:tcPr>
          <w:p>
            <w:pPr>
              <w:pStyle w:val="Coninuttabeluser"/>
              <w:jc w:val="both"/>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t>Nr. Crt.</w:t>
            </w:r>
          </w:p>
        </w:tc>
        <w:tc>
          <w:tcPr>
            <w:tcW w:w="6291" w:type="dxa"/>
            <w:tcBorders>
              <w:top w:val="single" w:sz="16" w:space="0" w:color="000000"/>
              <w:bottom w:val="single" w:sz="6" w:space="0" w:color="000000"/>
            </w:tcBorders>
          </w:tcPr>
          <w:p>
            <w:pPr>
              <w:pStyle w:val="Coninuttabeluser"/>
              <w:jc w:val="center"/>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t xml:space="preserve">Factori de evaluare </w:t>
            </w:r>
          </w:p>
          <w:p>
            <w:pPr>
              <w:pStyle w:val="Coninuttabeluser"/>
              <w:jc w:val="center"/>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r>
          </w:p>
        </w:tc>
        <w:tc>
          <w:tcPr>
            <w:tcW w:w="3391" w:type="dxa"/>
            <w:tcBorders>
              <w:top w:val="single" w:sz="16" w:space="0" w:color="000000"/>
              <w:bottom w:val="single" w:sz="6" w:space="0" w:color="000000"/>
            </w:tcBorders>
          </w:tcPr>
          <w:p>
            <w:pPr>
              <w:pStyle w:val="Coninuttabeluser"/>
              <w:jc w:val="center"/>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t>Punctaj</w:t>
            </w:r>
          </w:p>
          <w:p>
            <w:pPr>
              <w:pStyle w:val="Coninuttabeluser"/>
              <w:jc w:val="center"/>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t xml:space="preserve">maxim alocat </w:t>
            </w:r>
          </w:p>
        </w:tc>
      </w:tr>
      <w:tr>
        <w:trPr/>
        <w:tc>
          <w:tcPr>
            <w:tcW w:w="10155" w:type="dxa"/>
            <w:gridSpan w:val="3"/>
            <w:tcBorders>
              <w:bottom w:val="single" w:sz="6" w:space="0" w:color="999999"/>
            </w:tcBorders>
            <w:shd w:fill="EEEEEE" w:val="clear"/>
          </w:tcPr>
          <w:p>
            <w:pPr>
              <w:pStyle w:val="Coninuttabeluser"/>
              <w:jc w:val="center"/>
              <w:rPr>
                <w:rFonts w:ascii="Times New Roman" w:hAnsi="Times New Roman"/>
                <w:b/>
                <w:bCs/>
                <w:i w:val="false"/>
                <w:iCs w:val="false"/>
                <w:strike w:val="false"/>
                <w:dstrike w:val="false"/>
                <w:outline w:val="false"/>
                <w:shadow w:val="false"/>
                <w:color w:val="000000"/>
                <w:sz w:val="24"/>
                <w:szCs w:val="24"/>
                <w:u w:val="none"/>
              </w:rPr>
            </w:pPr>
            <w:r>
              <w:rPr>
                <w:rFonts w:ascii="Times New Roman" w:hAnsi="Times New Roman"/>
                <w:b/>
                <w:bCs/>
                <w:i w:val="false"/>
                <w:iCs w:val="false"/>
                <w:strike w:val="false"/>
                <w:dstrike w:val="false"/>
                <w:outline w:val="false"/>
                <w:shadow w:val="false"/>
                <w:color w:val="000000"/>
                <w:sz w:val="24"/>
                <w:szCs w:val="24"/>
                <w:u w:val="none"/>
              </w:rPr>
              <w:t>Componenta financiară</w:t>
            </w:r>
          </w:p>
        </w:tc>
      </w:tr>
      <w:tr>
        <w:trPr/>
        <w:tc>
          <w:tcPr>
            <w:tcW w:w="473" w:type="dxa"/>
            <w:tcBorders>
              <w:bottom w:val="single" w:sz="6" w:space="0" w:color="999999"/>
            </w:tcBorders>
            <w:shd w:fill="EEEEEE" w:val="clear"/>
          </w:tcPr>
          <w:p>
            <w:pPr>
              <w:pStyle w:val="Coninuttabeluser"/>
              <w:jc w:val="both"/>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t>1.</w:t>
            </w:r>
          </w:p>
        </w:tc>
        <w:tc>
          <w:tcPr>
            <w:tcW w:w="6291" w:type="dxa"/>
            <w:tcBorders>
              <w:bottom w:val="single" w:sz="6" w:space="0" w:color="999999"/>
            </w:tcBorders>
            <w:shd w:fill="EEEEEE" w:val="clear"/>
          </w:tcPr>
          <w:p>
            <w:pPr>
              <w:pStyle w:val="Coninuttabeluser"/>
              <w:jc w:val="both"/>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t xml:space="preserve">Prețul ofertei </w:t>
            </w:r>
          </w:p>
          <w:p>
            <w:pPr>
              <w:pStyle w:val="Coninuttabeluser"/>
              <w:jc w:val="both"/>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r>
          </w:p>
        </w:tc>
        <w:tc>
          <w:tcPr>
            <w:tcW w:w="3391" w:type="dxa"/>
            <w:tcBorders>
              <w:bottom w:val="single" w:sz="6" w:space="0" w:color="999999"/>
            </w:tcBorders>
            <w:shd w:fill="EEEEEE" w:val="clear"/>
          </w:tcPr>
          <w:p>
            <w:pPr>
              <w:pStyle w:val="Coninuttabeluser"/>
              <w:jc w:val="center"/>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t>55</w:t>
            </w:r>
          </w:p>
        </w:tc>
      </w:tr>
      <w:tr>
        <w:trPr/>
        <w:tc>
          <w:tcPr>
            <w:tcW w:w="10155" w:type="dxa"/>
            <w:gridSpan w:val="3"/>
            <w:tcBorders>
              <w:bottom w:val="single" w:sz="6" w:space="0" w:color="999999"/>
            </w:tcBorders>
            <w:shd w:fill="EEEEEE" w:val="clear"/>
          </w:tcPr>
          <w:p>
            <w:pPr>
              <w:pStyle w:val="Coninuttabeluser"/>
              <w:jc w:val="center"/>
              <w:rPr>
                <w:rFonts w:ascii="Times New Roman" w:hAnsi="Times New Roman"/>
                <w:b/>
                <w:bCs/>
                <w:i w:val="false"/>
                <w:iCs w:val="false"/>
                <w:strike w:val="false"/>
                <w:dstrike w:val="false"/>
                <w:outline w:val="false"/>
                <w:shadow w:val="false"/>
                <w:color w:val="000000"/>
                <w:sz w:val="24"/>
                <w:szCs w:val="24"/>
                <w:u w:val="none"/>
              </w:rPr>
            </w:pPr>
            <w:r>
              <w:rPr>
                <w:rFonts w:ascii="Times New Roman" w:hAnsi="Times New Roman"/>
                <w:b/>
                <w:bCs/>
                <w:i w:val="false"/>
                <w:iCs w:val="false"/>
                <w:strike w:val="false"/>
                <w:dstrike w:val="false"/>
                <w:outline w:val="false"/>
                <w:shadow w:val="false"/>
                <w:color w:val="000000"/>
                <w:sz w:val="24"/>
                <w:szCs w:val="24"/>
                <w:u w:val="none"/>
              </w:rPr>
              <w:t>Componenta tehnică</w:t>
            </w:r>
          </w:p>
        </w:tc>
      </w:tr>
      <w:tr>
        <w:trPr/>
        <w:tc>
          <w:tcPr>
            <w:tcW w:w="473" w:type="dxa"/>
            <w:tcBorders>
              <w:bottom w:val="single" w:sz="6" w:space="0" w:color="999999"/>
            </w:tcBorders>
            <w:shd w:fill="EEEEEE" w:val="clear"/>
          </w:tcPr>
          <w:p>
            <w:pPr>
              <w:pStyle w:val="Coninuttabeluser"/>
              <w:jc w:val="both"/>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t>2.</w:t>
            </w:r>
          </w:p>
        </w:tc>
        <w:tc>
          <w:tcPr>
            <w:tcW w:w="6291" w:type="dxa"/>
            <w:tcBorders>
              <w:bottom w:val="single" w:sz="6" w:space="0" w:color="999999"/>
            </w:tcBorders>
            <w:shd w:fill="EEEEEE" w:val="clear"/>
          </w:tcPr>
          <w:p>
            <w:pPr>
              <w:pStyle w:val="Coninuttabeluser"/>
              <w:jc w:val="both"/>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t>Garantie extinsa autoturism</w:t>
            </w:r>
          </w:p>
          <w:p>
            <w:pPr>
              <w:pStyle w:val="Coninuttabeluser"/>
              <w:jc w:val="both"/>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r>
          </w:p>
        </w:tc>
        <w:tc>
          <w:tcPr>
            <w:tcW w:w="3391" w:type="dxa"/>
            <w:tcBorders>
              <w:bottom w:val="single" w:sz="6" w:space="0" w:color="999999"/>
            </w:tcBorders>
            <w:shd w:fill="EEEEEE" w:val="clear"/>
          </w:tcPr>
          <w:p>
            <w:pPr>
              <w:pStyle w:val="Coninuttabeluser"/>
              <w:jc w:val="center"/>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t>20</w:t>
            </w:r>
          </w:p>
        </w:tc>
      </w:tr>
      <w:tr>
        <w:trPr/>
        <w:tc>
          <w:tcPr>
            <w:tcW w:w="473" w:type="dxa"/>
            <w:tcBorders>
              <w:bottom w:val="single" w:sz="6" w:space="0" w:color="999999"/>
            </w:tcBorders>
            <w:shd w:fill="EEEEEE" w:val="clear"/>
          </w:tcPr>
          <w:p>
            <w:pPr>
              <w:pStyle w:val="Coninuttabeluser"/>
              <w:jc w:val="both"/>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t>3.</w:t>
            </w:r>
          </w:p>
        </w:tc>
        <w:tc>
          <w:tcPr>
            <w:tcW w:w="6291" w:type="dxa"/>
            <w:tcBorders>
              <w:bottom w:val="single" w:sz="6" w:space="0" w:color="999999"/>
            </w:tcBorders>
            <w:shd w:fill="EEEEEE" w:val="clear"/>
          </w:tcPr>
          <w:p>
            <w:pPr>
              <w:pStyle w:val="Coninuttabeluser"/>
              <w:jc w:val="both"/>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t xml:space="preserve">Autonomie electrica WL TP </w:t>
            </w:r>
          </w:p>
          <w:p>
            <w:pPr>
              <w:pStyle w:val="Coninuttabeluser"/>
              <w:jc w:val="both"/>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r>
          </w:p>
        </w:tc>
        <w:tc>
          <w:tcPr>
            <w:tcW w:w="3391" w:type="dxa"/>
            <w:tcBorders>
              <w:bottom w:val="single" w:sz="6" w:space="0" w:color="999999"/>
            </w:tcBorders>
            <w:shd w:fill="EEEEEE" w:val="clear"/>
          </w:tcPr>
          <w:p>
            <w:pPr>
              <w:pStyle w:val="Coninuttabeluser"/>
              <w:jc w:val="center"/>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t>25</w:t>
            </w:r>
          </w:p>
        </w:tc>
      </w:tr>
      <w:tr>
        <w:trPr/>
        <w:tc>
          <w:tcPr>
            <w:tcW w:w="473" w:type="dxa"/>
            <w:tcBorders>
              <w:top w:val="single" w:sz="6" w:space="0" w:color="999999"/>
              <w:bottom w:val="single" w:sz="16" w:space="0" w:color="000000"/>
            </w:tcBorders>
          </w:tcPr>
          <w:p>
            <w:pPr>
              <w:pStyle w:val="Coninuttabeluser"/>
              <w:jc w:val="both"/>
              <w:rPr>
                <w:rFonts w:ascii="Times New Roman" w:hAnsi="Times New Roman"/>
                <w:b w:val="false"/>
                <w:bCs w:val="false"/>
                <w:i w:val="false"/>
                <w:iCs w:val="false"/>
                <w:strike w:val="false"/>
                <w:dstrike w:val="false"/>
                <w:outline w:val="false"/>
                <w:shadow w:val="false"/>
                <w:color w:val="000000"/>
                <w:sz w:val="24"/>
                <w:szCs w:val="24"/>
                <w:u w:val="none"/>
              </w:rPr>
            </w:pPr>
            <w:r>
              <w:rPr>
                <w:rFonts w:ascii="Times New Roman" w:hAnsi="Times New Roman"/>
                <w:b w:val="false"/>
                <w:bCs w:val="false"/>
                <w:i w:val="false"/>
                <w:iCs w:val="false"/>
                <w:strike w:val="false"/>
                <w:dstrike w:val="false"/>
                <w:outline w:val="false"/>
                <w:shadow w:val="false"/>
                <w:color w:val="000000"/>
                <w:sz w:val="24"/>
                <w:szCs w:val="24"/>
                <w:u w:val="none"/>
              </w:rPr>
            </w:r>
          </w:p>
        </w:tc>
        <w:tc>
          <w:tcPr>
            <w:tcW w:w="6291" w:type="dxa"/>
            <w:tcBorders>
              <w:top w:val="single" w:sz="6" w:space="0" w:color="999999"/>
              <w:bottom w:val="single" w:sz="16" w:space="0" w:color="000000"/>
            </w:tcBorders>
          </w:tcPr>
          <w:p>
            <w:pPr>
              <w:pStyle w:val="Coninuttabeluser"/>
              <w:jc w:val="both"/>
              <w:rPr>
                <w:rFonts w:ascii="Times New Roman" w:hAnsi="Times New Roman"/>
                <w:b/>
                <w:bCs/>
                <w:i w:val="false"/>
                <w:iCs w:val="false"/>
                <w:strike w:val="false"/>
                <w:dstrike w:val="false"/>
                <w:outline w:val="false"/>
                <w:shadow w:val="false"/>
                <w:color w:val="000000"/>
                <w:sz w:val="24"/>
                <w:szCs w:val="24"/>
                <w:u w:val="none"/>
              </w:rPr>
            </w:pPr>
            <w:r>
              <w:rPr>
                <w:rFonts w:ascii="Times New Roman" w:hAnsi="Times New Roman"/>
                <w:b/>
                <w:bCs/>
                <w:i w:val="false"/>
                <w:iCs w:val="false"/>
                <w:strike w:val="false"/>
                <w:dstrike w:val="false"/>
                <w:outline w:val="false"/>
                <w:shadow w:val="false"/>
                <w:color w:val="000000"/>
                <w:sz w:val="24"/>
                <w:szCs w:val="24"/>
                <w:u w:val="none"/>
              </w:rPr>
              <w:t xml:space="preserve">Total </w:t>
            </w:r>
          </w:p>
        </w:tc>
        <w:tc>
          <w:tcPr>
            <w:tcW w:w="3391" w:type="dxa"/>
            <w:tcBorders>
              <w:top w:val="single" w:sz="6" w:space="0" w:color="999999"/>
              <w:bottom w:val="single" w:sz="16" w:space="0" w:color="000000"/>
            </w:tcBorders>
          </w:tcPr>
          <w:p>
            <w:pPr>
              <w:pStyle w:val="Coninuttabeluser"/>
              <w:jc w:val="center"/>
              <w:rPr>
                <w:rFonts w:ascii="Times New Roman" w:hAnsi="Times New Roman"/>
                <w:b/>
                <w:bCs/>
                <w:i w:val="false"/>
                <w:iCs w:val="false"/>
                <w:strike w:val="false"/>
                <w:dstrike w:val="false"/>
                <w:outline w:val="false"/>
                <w:shadow w:val="false"/>
                <w:color w:val="000000"/>
                <w:sz w:val="24"/>
                <w:szCs w:val="24"/>
                <w:u w:val="none"/>
              </w:rPr>
            </w:pPr>
            <w:r>
              <w:rPr>
                <w:rFonts w:ascii="Times New Roman" w:hAnsi="Times New Roman"/>
                <w:b/>
                <w:bCs/>
                <w:i w:val="false"/>
                <w:iCs w:val="false"/>
                <w:strike w:val="false"/>
                <w:dstrike w:val="false"/>
                <w:outline w:val="false"/>
                <w:shadow w:val="false"/>
                <w:color w:val="000000"/>
                <w:sz w:val="24"/>
                <w:szCs w:val="24"/>
                <w:u w:val="none"/>
              </w:rPr>
              <w:t>100</w:t>
            </w:r>
          </w:p>
        </w:tc>
      </w:tr>
    </w:tbl>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Algoritm de calcul:</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b/>
          <w:bCs/>
          <w:sz w:val="24"/>
          <w:szCs w:val="24"/>
        </w:rPr>
      </w:pPr>
      <w:r>
        <w:rPr>
          <w:rFonts w:ascii="Times New Roman" w:hAnsi="Times New Roman"/>
          <w:b/>
          <w:bCs/>
          <w:sz w:val="24"/>
          <w:szCs w:val="24"/>
        </w:rPr>
        <w:t>1. Punctajul pentru factorul de evaluare "Pretul ofertei" se acorda astfel:</w:t>
      </w:r>
    </w:p>
    <w:p>
      <w:pPr>
        <w:pStyle w:val="Normal"/>
        <w:jc w:val="both"/>
        <w:rPr>
          <w:rFonts w:ascii="Times New Roman" w:hAnsi="Times New Roman"/>
          <w:sz w:val="24"/>
          <w:szCs w:val="24"/>
        </w:rPr>
      </w:pPr>
      <w:r>
        <w:rPr>
          <w:rFonts w:ascii="Times New Roman" w:hAnsi="Times New Roman"/>
          <w:sz w:val="24"/>
          <w:szCs w:val="24"/>
        </w:rPr>
        <w:t>a) pentru cel mai scăzut dintre prețurile ofertelor se acordă punctajul maxim alocat factorului de evaluare,</w:t>
      </w:r>
    </w:p>
    <w:p>
      <w:pPr>
        <w:pStyle w:val="Normal"/>
        <w:jc w:val="both"/>
        <w:rPr>
          <w:rFonts w:ascii="Times New Roman" w:hAnsi="Times New Roman"/>
          <w:sz w:val="24"/>
          <w:szCs w:val="24"/>
        </w:rPr>
      </w:pPr>
      <w:r>
        <w:rPr>
          <w:rFonts w:ascii="Times New Roman" w:hAnsi="Times New Roman"/>
          <w:sz w:val="24"/>
          <w:szCs w:val="24"/>
        </w:rPr>
        <w:t>b) pentru alt preț decât cel prevazut la lit. a) punctajul se acordă astfel:</w:t>
      </w:r>
    </w:p>
    <w:p>
      <w:pPr>
        <w:pStyle w:val="Normal"/>
        <w:jc w:val="both"/>
        <w:rPr>
          <w:rFonts w:ascii="Times New Roman" w:hAnsi="Times New Roman"/>
          <w:sz w:val="24"/>
          <w:szCs w:val="24"/>
        </w:rPr>
      </w:pPr>
      <w:r>
        <w:rPr>
          <w:rFonts w:ascii="Times New Roman" w:hAnsi="Times New Roman"/>
          <w:sz w:val="24"/>
          <w:szCs w:val="24"/>
        </w:rPr>
        <w:t>P(n) = (pret minim ofertat I pret(n)) x punctaj maxim alocat.</w:t>
      </w:r>
    </w:p>
    <w:p>
      <w:pPr>
        <w:pStyle w:val="Normal"/>
        <w:jc w:val="both"/>
        <w:rPr>
          <w:rFonts w:ascii="Times New Roman" w:hAnsi="Times New Roman"/>
          <w:sz w:val="24"/>
          <w:szCs w:val="24"/>
        </w:rPr>
      </w:pPr>
      <w:r>
        <w:rPr>
          <w:rFonts w:ascii="Times New Roman" w:hAnsi="Times New Roman"/>
          <w:sz w:val="24"/>
          <w:szCs w:val="24"/>
        </w:rPr>
        <w:t>(P(n) - punctaj nominal pret oferta ; pret(n) - pret nominal a ofertei evaluate)</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b/>
          <w:bCs/>
          <w:sz w:val="24"/>
          <w:szCs w:val="24"/>
        </w:rPr>
      </w:pPr>
      <w:r>
        <w:rPr>
          <w:rFonts w:ascii="Times New Roman" w:hAnsi="Times New Roman"/>
          <w:b/>
          <w:bCs/>
          <w:sz w:val="24"/>
          <w:szCs w:val="24"/>
        </w:rPr>
        <w:t>2. Punctajul pentru factorul de evaluare "Garanție extinsă autoturism" se acordă astfel:</w:t>
      </w:r>
    </w:p>
    <w:p>
      <w:pPr>
        <w:pStyle w:val="Normal"/>
        <w:jc w:val="both"/>
        <w:rPr>
          <w:rFonts w:ascii="Times New Roman" w:hAnsi="Times New Roman"/>
          <w:sz w:val="24"/>
          <w:szCs w:val="24"/>
        </w:rPr>
      </w:pPr>
      <w:r>
        <w:rPr>
          <w:rFonts w:ascii="Times New Roman" w:hAnsi="Times New Roman"/>
          <w:sz w:val="24"/>
          <w:szCs w:val="24"/>
        </w:rPr>
        <w:t>a) pentru ofertele care prezintă garanție mai mare de 3 ani și până la 4 ani (inclusiv) sau între 100.001 km și 120.000 km, se acorda 5 puncte,</w:t>
      </w:r>
    </w:p>
    <w:p>
      <w:pPr>
        <w:pStyle w:val="Normal"/>
        <w:jc w:val="both"/>
        <w:rPr>
          <w:rFonts w:ascii="Times New Roman" w:hAnsi="Times New Roman"/>
          <w:sz w:val="24"/>
          <w:szCs w:val="24"/>
        </w:rPr>
      </w:pPr>
      <w:r>
        <w:rPr>
          <w:rFonts w:ascii="Times New Roman" w:hAnsi="Times New Roman"/>
          <w:sz w:val="24"/>
          <w:szCs w:val="24"/>
        </w:rPr>
        <w:t>b) pentru ofertele care prezintă garantie mai mare de 4 ani și până la 5 ani (inclusiv) sau între 120.001 km și 140.000 km, se acorda 10 puncte,</w:t>
      </w:r>
    </w:p>
    <w:p>
      <w:pPr>
        <w:pStyle w:val="Normal"/>
        <w:jc w:val="both"/>
        <w:rPr>
          <w:rFonts w:ascii="Times New Roman" w:hAnsi="Times New Roman"/>
          <w:sz w:val="24"/>
          <w:szCs w:val="24"/>
        </w:rPr>
      </w:pPr>
      <w:r>
        <w:rPr>
          <w:rFonts w:ascii="Times New Roman" w:hAnsi="Times New Roman"/>
          <w:sz w:val="24"/>
          <w:szCs w:val="24"/>
        </w:rPr>
        <w:t>c) pentru ofertele care prezintă garanție mai mare de 5 ani și până la 6 ani (inclusiv) sau între 140.001 km și 160.000 km, se acorda 15 puncte,</w:t>
      </w:r>
    </w:p>
    <w:p>
      <w:pPr>
        <w:pStyle w:val="Normal"/>
        <w:jc w:val="both"/>
        <w:rPr>
          <w:rFonts w:ascii="Times New Roman" w:hAnsi="Times New Roman"/>
          <w:sz w:val="24"/>
          <w:szCs w:val="24"/>
        </w:rPr>
      </w:pPr>
      <w:r>
        <w:rPr>
          <w:rFonts w:ascii="Times New Roman" w:hAnsi="Times New Roman"/>
          <w:sz w:val="24"/>
          <w:szCs w:val="24"/>
        </w:rPr>
        <w:t>d) pentru ofertele care prezinta garanție mai mare de 6 ani sau peste 160.000 km,  se acorda 20 puncte.</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NOTE:</w:t>
      </w:r>
    </w:p>
    <w:p>
      <w:pPr>
        <w:pStyle w:val="Normal"/>
        <w:jc w:val="both"/>
        <w:rPr>
          <w:rFonts w:ascii="Times New Roman" w:hAnsi="Times New Roman"/>
          <w:sz w:val="24"/>
          <w:szCs w:val="24"/>
        </w:rPr>
      </w:pPr>
      <w:r>
        <w:rPr>
          <w:rFonts w:ascii="Times New Roman" w:hAnsi="Times New Roman"/>
          <w:sz w:val="24"/>
          <w:szCs w:val="24"/>
        </w:rPr>
        <w:tab/>
        <w:t>Pentru ofertele cu garanție de 3 ani sau 100.000 km nu se acorda punctaj (se acorda 0 puncte); ofertele vor fi declarate conforme.</w:t>
      </w:r>
    </w:p>
    <w:p>
      <w:pPr>
        <w:pStyle w:val="Normal"/>
        <w:jc w:val="both"/>
        <w:rPr>
          <w:rFonts w:ascii="Times New Roman" w:hAnsi="Times New Roman"/>
          <w:sz w:val="24"/>
          <w:szCs w:val="24"/>
        </w:rPr>
      </w:pPr>
      <w:r>
        <w:rPr>
          <w:rFonts w:ascii="Times New Roman" w:hAnsi="Times New Roman"/>
          <w:sz w:val="24"/>
          <w:szCs w:val="24"/>
        </w:rPr>
        <w:tab/>
        <w:t>Ofertele care nu respecta cerința minimă a caietului de sarcini: Garanția minima de 3 ani sau 100.000 km, vor fi declarate neconforme.</w:t>
      </w:r>
    </w:p>
    <w:p>
      <w:pPr>
        <w:pStyle w:val="Normal"/>
        <w:jc w:val="both"/>
        <w:rPr>
          <w:rFonts w:ascii="Times New Roman" w:hAnsi="Times New Roman"/>
          <w:sz w:val="24"/>
          <w:szCs w:val="24"/>
        </w:rPr>
      </w:pPr>
      <w:r>
        <w:rPr>
          <w:rFonts w:ascii="Times New Roman" w:hAnsi="Times New Roman"/>
          <w:sz w:val="24"/>
          <w:szCs w:val="24"/>
        </w:rPr>
        <w:tab/>
        <w:t>Garanția extinsă autoturism se referă la motorul electric de tractiune, instalația electrică, caseta de direcție, ABS-ul (sistemul anti-blocare la frânare al roților sau echivalent), ESP-ul (sistemul de control al stabilitații vehiculului sau echivalent), sistemul de frânare, sistemul de suspensie. Excepție sunt uzurile normale ale anvelopelor și a elementelor consumabile din cadrul sistemului de frânare (plăcuțe, saboți, discuri, tamburi, garnituri de frână).</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b/>
          <w:bCs/>
          <w:sz w:val="24"/>
          <w:szCs w:val="24"/>
        </w:rPr>
      </w:pPr>
      <w:r>
        <w:rPr>
          <w:rFonts w:ascii="Times New Roman" w:hAnsi="Times New Roman"/>
          <w:b/>
          <w:bCs/>
          <w:sz w:val="24"/>
          <w:szCs w:val="24"/>
        </w:rPr>
        <w:t>3. Punctajul pentru factorul de evaluare " Autonomie electrica WLTP " se acorda astfel:</w:t>
      </w:r>
    </w:p>
    <w:p>
      <w:pPr>
        <w:pStyle w:val="Normal"/>
        <w:jc w:val="both"/>
        <w:rPr>
          <w:rFonts w:ascii="Times New Roman" w:hAnsi="Times New Roman"/>
          <w:sz w:val="24"/>
          <w:szCs w:val="24"/>
        </w:rPr>
      </w:pPr>
      <w:r>
        <w:rPr>
          <w:rFonts w:ascii="Times New Roman" w:hAnsi="Times New Roman"/>
          <w:sz w:val="24"/>
          <w:szCs w:val="24"/>
        </w:rPr>
        <w:t>a) pentru cea mai mare autonomie electrică WLTP ofertată se acordă punctajul maxim alocat factorului de evaluare,</w:t>
      </w:r>
    </w:p>
    <w:p>
      <w:pPr>
        <w:pStyle w:val="Normal"/>
        <w:jc w:val="both"/>
        <w:rPr>
          <w:rFonts w:ascii="Times New Roman" w:hAnsi="Times New Roman"/>
          <w:sz w:val="24"/>
          <w:szCs w:val="24"/>
        </w:rPr>
      </w:pPr>
      <w:r>
        <w:rPr>
          <w:rFonts w:ascii="Times New Roman" w:hAnsi="Times New Roman"/>
          <w:sz w:val="24"/>
          <w:szCs w:val="24"/>
        </w:rPr>
        <w:t>b) pentru altă autonomie electrica WLTP decât cel prevăzut la lit. a) punctajul se acorda astfel:</w:t>
      </w:r>
    </w:p>
    <w:p>
      <w:pPr>
        <w:pStyle w:val="Normal"/>
        <w:jc w:val="both"/>
        <w:rPr>
          <w:rFonts w:ascii="Times New Roman" w:hAnsi="Times New Roman"/>
          <w:sz w:val="24"/>
          <w:szCs w:val="24"/>
        </w:rPr>
      </w:pPr>
      <w:r>
        <w:rPr>
          <w:rFonts w:ascii="Times New Roman" w:hAnsi="Times New Roman"/>
          <w:sz w:val="24"/>
          <w:szCs w:val="24"/>
        </w:rPr>
        <w:t>P(n) = (Ai / Amax) x punctaj maxim alocat.</w:t>
      </w:r>
    </w:p>
    <w:p>
      <w:pPr>
        <w:pStyle w:val="Normal"/>
        <w:jc w:val="both"/>
        <w:rPr>
          <w:rFonts w:ascii="Times New Roman" w:hAnsi="Times New Roman"/>
          <w:sz w:val="24"/>
          <w:szCs w:val="24"/>
        </w:rPr>
      </w:pPr>
      <w:r>
        <w:rPr>
          <w:rFonts w:ascii="Times New Roman" w:hAnsi="Times New Roman"/>
          <w:sz w:val="24"/>
          <w:szCs w:val="24"/>
        </w:rPr>
        <w:t>(P(n) - punctaj nominal autonomic electrica WLTP; Ai - autonomia electrica WLTP a ofertei evaluate; Amax - cea mai mare autonomie electrica WLTP dintre ofertele admisibile).</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Scorul obținut pentru componenta tehnică este reprezentat de numărul de puncte obținut ca urmare a adunării punctajelor obținute pentru sub-factorii de evaluare de natură tehnică prezentați mai sus.</w:t>
      </w:r>
    </w:p>
    <w:p>
      <w:pPr>
        <w:pStyle w:val="Normal"/>
        <w:jc w:val="both"/>
        <w:rPr>
          <w:rFonts w:ascii="Times New Roman" w:hAnsi="Times New Roman"/>
          <w:sz w:val="24"/>
          <w:szCs w:val="24"/>
        </w:rPr>
      </w:pPr>
      <w:r>
        <w:rPr>
          <w:rFonts w:ascii="Times New Roman" w:hAnsi="Times New Roman"/>
          <w:sz w:val="24"/>
          <w:szCs w:val="24"/>
        </w:rPr>
        <w:t>Scorul maxim care poate fi obținut de către o ofertă finală admisibilă pentru componenta FINANCIARĂ este de 55 de puncte.</w:t>
      </w:r>
    </w:p>
    <w:p>
      <w:pPr>
        <w:pStyle w:val="Normal"/>
        <w:jc w:val="both"/>
        <w:rPr>
          <w:rFonts w:ascii="Times New Roman" w:hAnsi="Times New Roman"/>
          <w:sz w:val="24"/>
          <w:szCs w:val="24"/>
        </w:rPr>
      </w:pPr>
      <w:r>
        <w:rPr>
          <w:rFonts w:ascii="Times New Roman" w:hAnsi="Times New Roman"/>
          <w:sz w:val="24"/>
          <w:szCs w:val="24"/>
        </w:rPr>
        <w:t>Scorul maxim care poate fi obținut de către o ofortă finală admisibilă pentru componenta TEHNICĂ este de 45 de puncte.</w:t>
      </w:r>
    </w:p>
    <w:p>
      <w:pPr>
        <w:pStyle w:val="Normal"/>
        <w:jc w:val="both"/>
        <w:rPr>
          <w:rFonts w:ascii="Times New Roman" w:hAnsi="Times New Roman"/>
          <w:sz w:val="24"/>
          <w:szCs w:val="24"/>
        </w:rPr>
      </w:pPr>
      <w:r>
        <w:rPr>
          <w:rFonts w:ascii="Times New Roman" w:hAnsi="Times New Roman"/>
          <w:sz w:val="24"/>
          <w:szCs w:val="24"/>
        </w:rPr>
        <w:t xml:space="preserve">Ofertele care nu îndeplinesc cerințele minime solicitate conform prezentului Caiet de sarcini vor fi considerate neconforme. </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 xml:space="preserve">  </w:t>
      </w:r>
      <w:r>
        <w:rPr>
          <w:rFonts w:ascii="Times New Roman" w:hAnsi="Times New Roman"/>
          <w:b/>
          <w:bCs/>
          <w:sz w:val="24"/>
          <w:szCs w:val="24"/>
        </w:rPr>
        <w:t>VIII. Recepția</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Se va verifica:</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conformitatea cu  oferta tehnică;</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conformitatea cu prezentul caiet de sarcini;</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verificarea punerii în funcțiune a autovehiculului și efectuarea operațiunilor necesare predării acestuia în stare de utilizare;</w:t>
      </w:r>
    </w:p>
    <w:p>
      <w:pPr>
        <w:pStyle w:val="Normal"/>
        <w:bidi w:val="0"/>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existența accesoriilor și documentelor solicitate.</w:t>
      </w:r>
    </w:p>
    <w:p>
      <w:pPr>
        <w:pStyle w:val="Normal"/>
        <w:bidi w:val="0"/>
        <w:jc w:val="both"/>
        <w:rPr>
          <w:rFonts w:ascii="Times New Roman" w:hAnsi="Times New Roman"/>
          <w:sz w:val="24"/>
          <w:szCs w:val="24"/>
        </w:rPr>
      </w:pPr>
      <w:r>
        <w:rPr>
          <w:rFonts w:ascii="Times New Roman" w:hAnsi="Times New Roman"/>
          <w:sz w:val="24"/>
          <w:szCs w:val="24"/>
        </w:rPr>
        <w:tab/>
        <w:t>Autoritatea contractanta își rezervă dreptul de a solicita documente suplimentare pentru verificarea conformității caracteristicilor tehnice ofertate.</w:t>
      </w:r>
    </w:p>
    <w:p>
      <w:pPr>
        <w:pStyle w:val="Normal"/>
        <w:bidi w:val="0"/>
        <w:jc w:val="both"/>
        <w:rPr>
          <w:rFonts w:ascii="Times New Roman" w:hAnsi="Times New Roman"/>
          <w:sz w:val="24"/>
          <w:szCs w:val="24"/>
        </w:rPr>
      </w:pPr>
      <w:r>
        <w:rPr>
          <w:rFonts w:ascii="Times New Roman" w:hAnsi="Times New Roman"/>
          <w:sz w:val="24"/>
          <w:szCs w:val="24"/>
        </w:rPr>
        <w:tab/>
        <w:t>Recepția finală se va realiza în termen de maximum 14 zile calendaristice de la data livrarii autovehiculelor, dupa verificarea îndeplinirii tuturor cerințelor tehnice și prezentarea tuturor documentelor prevăzute în prezentul caiet de sarcini.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IX. Termen de livrare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b/>
      </w:r>
      <w:r>
        <w:rPr>
          <w:rFonts w:ascii="Times New Roman" w:hAnsi="Times New Roman"/>
          <w:color w:val="auto"/>
          <w:sz w:val="24"/>
          <w:szCs w:val="24"/>
        </w:rPr>
        <w:t>Termen de livrare: maximum 120 zile calendaristice de la data semnării contractului de furnizare de către ambele părți.</w:t>
      </w:r>
    </w:p>
    <w:p>
      <w:pPr>
        <w:pStyle w:val="Normal"/>
        <w:bidi w:val="0"/>
        <w:jc w:val="both"/>
        <w:rPr>
          <w:rFonts w:ascii="Times New Roman" w:hAnsi="Times New Roman"/>
          <w:sz w:val="24"/>
          <w:szCs w:val="24"/>
        </w:rPr>
      </w:pPr>
      <w:r>
        <w:rPr>
          <w:rFonts w:ascii="Times New Roman" w:hAnsi="Times New Roman"/>
          <w:sz w:val="24"/>
          <w:szCs w:val="24"/>
        </w:rPr>
        <w:tab/>
        <w:t>Livrarea se va efectua la sediul beneficiarului din mun. Craiova, jud. Dolj, str. Popoveni nr. 3C.</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Data livrării va fi notificată de către furnizor cu minimum 10 zile înainte de livrare.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 xml:space="preserve"> </w:t>
      </w:r>
      <w:r>
        <w:rPr>
          <w:rFonts w:ascii="Times New Roman" w:hAnsi="Times New Roman"/>
          <w:b/>
          <w:bCs/>
          <w:sz w:val="24"/>
          <w:szCs w:val="24"/>
        </w:rPr>
        <w:t>X. Documente obligatorii la livrare</w:t>
      </w:r>
    </w:p>
    <w:p>
      <w:pPr>
        <w:pStyle w:val="Normal"/>
        <w:bidi w:val="0"/>
        <w:jc w:val="both"/>
        <w:rPr>
          <w:rFonts w:ascii="Times New Roman" w:hAnsi="Times New Roman"/>
          <w:b/>
          <w:bCs/>
          <w:sz w:val="24"/>
          <w:szCs w:val="24"/>
        </w:rPr>
      </w:pPr>
      <w:r>
        <w:rPr>
          <w:rFonts w:ascii="Times New Roman" w:hAnsi="Times New Roman"/>
          <w:b/>
          <w:bCs/>
          <w:sz w:val="24"/>
          <w:szCs w:val="24"/>
        </w:rPr>
      </w:r>
    </w:p>
    <w:p>
      <w:pPr>
        <w:pStyle w:val="Normal"/>
        <w:bidi w:val="0"/>
        <w:jc w:val="both"/>
        <w:rPr>
          <w:rFonts w:ascii="Times New Roman" w:hAnsi="Times New Roman"/>
          <w:sz w:val="24"/>
          <w:szCs w:val="24"/>
        </w:rPr>
      </w:pPr>
      <w:r>
        <w:rPr>
          <w:rFonts w:ascii="Times New Roman" w:hAnsi="Times New Roman"/>
          <w:sz w:val="24"/>
          <w:szCs w:val="24"/>
        </w:rPr>
        <w:t>La livrare, furnizorul va prezenta:</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1. Numerele provizorii de înmatriculare și autorizația provizorie de circulație valabilă pentru minimum 30 de zile;</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2. Asigurarea de răspundere civilă auto (RCA) valabilă cel puțin pentru perioada de autorizare provizorie de circulație;</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3. Factura fiscală;</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4. Documente ce trebuie furnizate Achizitorului în legatura cu autovehiculul:</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 Certificatul de conformitate european (COC);</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b. Cartea tehnică de identitate a vehiculului;</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c. Certificatul de garanție;</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d. Manualul de utilizare în limba română;</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e. Certificatul de garanție pentru bateria de tracțiune, dacă acesta este emis distinct</w:t>
      </w:r>
    </w:p>
    <w:p>
      <w:pPr>
        <w:pStyle w:val="Normal"/>
        <w:bidi w:val="0"/>
        <w:jc w:val="both"/>
        <w:rPr>
          <w:rFonts w:ascii="Times New Roman" w:hAnsi="Times New Roman"/>
          <w:sz w:val="24"/>
          <w:szCs w:val="24"/>
        </w:rPr>
      </w:pPr>
      <w:r>
        <w:rPr>
          <w:rFonts w:ascii="Times New Roman" w:hAnsi="Times New Roman"/>
          <w:sz w:val="24"/>
          <w:szCs w:val="24"/>
        </w:rPr>
        <w:t>de certificatul de garantțe al autovehiculului;</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f. Documente privind efectuarea operațiunilor necesare în cadrul Programului Administrației Fondului pentru Mediu și orice alte documente necesare decontării finanțării, conform Ghidului de finanțare aplicabil.</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5. Kitul legislativ, respectiv:</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vesta reflectorizantă, conform legislației incidente;</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trusa de prim ajutor, conform legislației incidente;</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triunghiuri reflectorizante de avertizare cu omologare, în conformitate cu reglementările legislației incidente;</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stingător Pl certificat de conformitate, potrivit legislației incidente.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b/>
          <w:bCs/>
          <w:sz w:val="24"/>
          <w:szCs w:val="24"/>
        </w:rPr>
        <w:t xml:space="preserve">  </w:t>
      </w:r>
      <w:r>
        <w:rPr>
          <w:rFonts w:ascii="Times New Roman" w:hAnsi="Times New Roman"/>
          <w:b/>
          <w:bCs/>
          <w:sz w:val="24"/>
          <w:szCs w:val="24"/>
        </w:rPr>
        <w:t>XI. Condiții de eligibilitate pentru ofertant</w:t>
      </w:r>
    </w:p>
    <w:p>
      <w:pPr>
        <w:pStyle w:val="Normal"/>
        <w:bidi w:val="0"/>
        <w:jc w:val="both"/>
        <w:rPr>
          <w:rFonts w:ascii="Times New Roman" w:hAnsi="Times New Roman"/>
          <w:sz w:val="24"/>
          <w:szCs w:val="24"/>
        </w:rPr>
      </w:pPr>
      <w:r>
        <w:rPr>
          <w:rFonts w:ascii="Times New Roman" w:hAnsi="Times New Roman"/>
          <w:sz w:val="24"/>
          <w:szCs w:val="24"/>
        </w:rPr>
        <w:t>Ofertantul trebuie:</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să fie autorizat pentru comercializarea autovehiculelor;</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să asigure garanția autovehiculului livrat;</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să dispună de rețea de service autorizată în România;</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să facă dovada că autovehiculele ofertate sunt furnizate prin intermediul unui producător validat în cadrul Programului Administrației Fondului pentru Mediu, conform Ghidului de finanțare aplicabil;</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să respecte prevederile Legii nr. 98/2016 privind achizițiile publice și legislația conexă.</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b/>
          <w:bCs/>
          <w:sz w:val="24"/>
          <w:szCs w:val="24"/>
        </w:rPr>
        <w:t>XII.Obligații specifice rezultate din finanțarea Administrației Fondului pentru Mediu</w:t>
      </w:r>
    </w:p>
    <w:p>
      <w:pPr>
        <w:pStyle w:val="Normal"/>
        <w:bidi w:val="0"/>
        <w:jc w:val="both"/>
        <w:rPr>
          <w:rFonts w:ascii="Times New Roman" w:hAnsi="Times New Roman"/>
          <w:b/>
          <w:bCs/>
          <w:sz w:val="24"/>
          <w:szCs w:val="24"/>
        </w:rPr>
      </w:pPr>
      <w:r>
        <w:rPr>
          <w:rFonts w:ascii="Times New Roman" w:hAnsi="Times New Roman"/>
          <w:b/>
          <w:bCs/>
          <w:sz w:val="24"/>
          <w:szCs w:val="24"/>
        </w:rPr>
      </w:r>
    </w:p>
    <w:p>
      <w:pPr>
        <w:pStyle w:val="Normal"/>
        <w:bidi w:val="0"/>
        <w:jc w:val="both"/>
        <w:rPr>
          <w:rFonts w:ascii="Times New Roman" w:hAnsi="Times New Roman"/>
          <w:sz w:val="24"/>
          <w:szCs w:val="24"/>
        </w:rPr>
      </w:pPr>
      <w:r>
        <w:rPr>
          <w:rFonts w:ascii="Times New Roman" w:hAnsi="Times New Roman"/>
          <w:sz w:val="24"/>
          <w:szCs w:val="24"/>
        </w:rPr>
        <w:t>Furnizorul va avea în vedere că:</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bunurile achiziționate sunt finanțate din fondurile Administrației Fondului pentru Mediu, neexistând posibilitatea platii unui avans;</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vehiculele trebuie să îndeplinească toate condițiile de eligibilitate prevazute în Ghidul de finanțare aplicabil;</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documentele furnizate trebuie să permită decontarea cheltuielilor către Administrația</w:t>
      </w:r>
    </w:p>
    <w:p>
      <w:pPr>
        <w:pStyle w:val="Normal"/>
        <w:bidi w:val="0"/>
        <w:jc w:val="both"/>
        <w:rPr>
          <w:rFonts w:ascii="Times New Roman" w:hAnsi="Times New Roman"/>
          <w:sz w:val="24"/>
          <w:szCs w:val="24"/>
        </w:rPr>
      </w:pPr>
      <w:r>
        <w:rPr>
          <w:rFonts w:ascii="Times New Roman" w:hAnsi="Times New Roman"/>
          <w:sz w:val="24"/>
          <w:szCs w:val="24"/>
        </w:rPr>
        <w:t>Fondului pentru Mediu;</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orice modificare a caracteristicilor tehnice ofertate se poate realiza numai cu acordul scris al beneficiarului și cu respectarea condițiilor de eligibilitate stabilite prin contractul de finanțare;</w:t>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decontarea se realizează conform ghidului de finanțare și instrucțiunilor aprobate prin dispoziție a președintelui Administrației Fondului pentru Mediu.</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 xml:space="preserve">  </w:t>
      </w:r>
      <w:r>
        <w:rPr>
          <w:rFonts w:ascii="Times New Roman" w:hAnsi="Times New Roman"/>
          <w:b/>
          <w:bCs/>
          <w:sz w:val="24"/>
          <w:szCs w:val="24"/>
        </w:rPr>
        <w:t>XIII. Condiții financiare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b/>
        <w:t>Valoarea estimată a contractului este de 99.173,55 lei fără TVA, respectiv 120.000 lei inclusiv TVA, reprezentând valoarea maximă disponibilă pentru achiziția a unui autovehicul electric, conform finanțării aprobate prin Programul privind reducerea emisiilor de gaze cu efect de seră în transporturi prin promovarea vehiculelor de transportului rutier nepoluante și eficiente din punct de vedere energetic 2025-2030.</w:t>
      </w:r>
    </w:p>
    <w:p>
      <w:pPr>
        <w:pStyle w:val="Normal"/>
        <w:bidi w:val="0"/>
        <w:jc w:val="both"/>
        <w:rPr>
          <w:rFonts w:ascii="Times New Roman" w:hAnsi="Times New Roman"/>
          <w:sz w:val="24"/>
          <w:szCs w:val="24"/>
        </w:rPr>
      </w:pPr>
      <w:r>
        <w:rPr>
          <w:rFonts w:ascii="Times New Roman" w:hAnsi="Times New Roman"/>
          <w:sz w:val="24"/>
          <w:szCs w:val="24"/>
        </w:rPr>
        <w:tab/>
        <w:t>Autoritatea contractantă nu va suporta și nu va achita diferențe de preț față de valoarea ecotichetului aprobat. În consecință, ofertele financiare depuse de operatorii economici trebuie să se încadreze în valoarea maximă eligibilă de 120.000 lei inclusiv TVA .</w:t>
      </w:r>
    </w:p>
    <w:p>
      <w:pPr>
        <w:pStyle w:val="Normal"/>
        <w:bidi w:val="0"/>
        <w:jc w:val="both"/>
        <w:rPr>
          <w:rFonts w:ascii="Times New Roman" w:hAnsi="Times New Roman"/>
          <w:sz w:val="24"/>
          <w:szCs w:val="24"/>
        </w:rPr>
      </w:pPr>
      <w:r>
        <w:rPr>
          <w:rFonts w:ascii="Times New Roman" w:hAnsi="Times New Roman"/>
          <w:sz w:val="24"/>
          <w:szCs w:val="24"/>
        </w:rPr>
        <w:tab/>
        <w:t>Prețul ofertat va include toate costurile aferente furnizării, transportului, livrării, punerii în funcțiune, documentelor necesare, precum și orice alte costuri necesare pentru îndeplinirea integrală a obligațiilor contractuale.</w:t>
      </w:r>
    </w:p>
    <w:p>
      <w:pPr>
        <w:pStyle w:val="Normal"/>
        <w:bidi w:val="0"/>
        <w:jc w:val="both"/>
        <w:rPr>
          <w:rFonts w:ascii="Times New Roman" w:hAnsi="Times New Roman"/>
          <w:sz w:val="24"/>
          <w:szCs w:val="24"/>
        </w:rPr>
      </w:pPr>
      <w:r>
        <w:rPr>
          <w:rFonts w:ascii="Times New Roman" w:hAnsi="Times New Roman"/>
          <w:sz w:val="24"/>
          <w:szCs w:val="24"/>
        </w:rPr>
        <w:t>Ofertele care depășesc valoarea maxima disponibila vor fi considerate neconforme și vor fi respinse, în condițiile legislației aplicabile în domeniul achizițiilor publice.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 xml:space="preserve">  </w:t>
      </w:r>
      <w:r>
        <w:rPr>
          <w:rFonts w:ascii="Times New Roman" w:hAnsi="Times New Roman"/>
          <w:b/>
          <w:bCs/>
          <w:sz w:val="24"/>
          <w:szCs w:val="24"/>
        </w:rPr>
        <w:t>XIV. Prezentarea ofertei tehnice și financiare</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14.1. Propunerea tehnică</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Caietul de sarcini face parte integrantă din documentația de atribuire și constituie ansamblul   cerințelor pe baza cărora se elaborează de către fiecare ofertant propunerea tehnică. Caietul de sarcini conține, în mod obligatoriu, specificații tehnice. Acestea definesc, dupa caz și fără a se limita la cele ce urmează, caracteristici referitoare la nivelul calitativ, tehnic și de performanța, siguranța în exploatare, etc.</w:t>
      </w:r>
    </w:p>
    <w:p>
      <w:pPr>
        <w:pStyle w:val="Normal"/>
        <w:bidi w:val="0"/>
        <w:jc w:val="both"/>
        <w:rPr>
          <w:rFonts w:ascii="Times New Roman" w:hAnsi="Times New Roman"/>
          <w:sz w:val="24"/>
          <w:szCs w:val="24"/>
        </w:rPr>
      </w:pPr>
      <w:r>
        <w:rPr>
          <w:rFonts w:ascii="Times New Roman" w:hAnsi="Times New Roman"/>
          <w:sz w:val="24"/>
          <w:szCs w:val="24"/>
        </w:rPr>
        <w:t>Ofertantul va elabora propunerea tehnică detaliat, urmând precizările din caietul de sarcini .</w:t>
      </w:r>
    </w:p>
    <w:p>
      <w:pPr>
        <w:pStyle w:val="Normal"/>
        <w:bidi w:val="0"/>
        <w:jc w:val="both"/>
        <w:rPr>
          <w:rFonts w:ascii="Times New Roman" w:hAnsi="Times New Roman"/>
          <w:sz w:val="24"/>
          <w:szCs w:val="24"/>
        </w:rPr>
      </w:pPr>
      <w:r>
        <w:rPr>
          <w:rFonts w:ascii="Times New Roman" w:hAnsi="Times New Roman"/>
          <w:sz w:val="24"/>
          <w:szCs w:val="24"/>
        </w:rPr>
        <w:tab/>
        <w:t>Se vor respecta cerințele solicitate prin caietul de sarcini astfel încât informațiile din propunerea tehnică să permită identificarea cu ușurință a corespondenței cu specificațiile tehnice prevăzute în caietul de sarcini.</w:t>
      </w:r>
    </w:p>
    <w:p>
      <w:pPr>
        <w:pStyle w:val="Normal"/>
        <w:bidi w:val="0"/>
        <w:jc w:val="both"/>
        <w:rPr>
          <w:rFonts w:ascii="Times New Roman" w:hAnsi="Times New Roman"/>
          <w:sz w:val="24"/>
          <w:szCs w:val="24"/>
        </w:rPr>
      </w:pPr>
      <w:r>
        <w:rPr>
          <w:rFonts w:ascii="Times New Roman" w:hAnsi="Times New Roman"/>
          <w:sz w:val="24"/>
          <w:szCs w:val="24"/>
        </w:rPr>
        <w:tab/>
        <w:t>Oferta care nu respectă cerințele caietului de sarcini este considerată neconformă. Notă: Specificațiile tehnice care indică o anumită origine, sursa, producție, un procedeu special, o marcă de fabrică sau de comerț, un brevet de invenție, o licență de fabricație, sunt menționate doar pentru identificarea cu ușurință a tipului de produs și NU au ca efect favorizarea sau eliminarea anumitor operatori economici sau a anumitor produse. Aceste specificații vor fi considerate ca având mențiunea de ,,sau echivalent".</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14.2. Propunerea financiară</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both"/>
        <w:rPr>
          <w:rFonts w:ascii="Times New Roman" w:hAnsi="Times New Roman"/>
          <w:sz w:val="24"/>
          <w:szCs w:val="24"/>
        </w:rPr>
      </w:pPr>
      <w:r>
        <w:rPr>
          <w:rFonts w:ascii="Times New Roman" w:hAnsi="Times New Roman"/>
          <w:sz w:val="24"/>
          <w:szCs w:val="24"/>
        </w:rPr>
        <w:tab/>
        <w:t>Ofertantul va elabora propunerea financiară astfel încât aceasta să furnizeze toate informațiile solicitate cu privire la preț, precum și la alte condiții financiare și comerciale legate de obiectul contractului de achiziție publică.</w:t>
      </w:r>
    </w:p>
    <w:p>
      <w:pPr>
        <w:pStyle w:val="Normal"/>
        <w:bidi w:val="0"/>
        <w:jc w:val="both"/>
        <w:rPr>
          <w:rFonts w:ascii="Times New Roman" w:hAnsi="Times New Roman"/>
          <w:sz w:val="24"/>
          <w:szCs w:val="24"/>
        </w:rPr>
      </w:pPr>
      <w:r>
        <w:rPr>
          <w:rFonts w:ascii="Times New Roman" w:hAnsi="Times New Roman"/>
          <w:sz w:val="24"/>
          <w:szCs w:val="24"/>
        </w:rPr>
        <w:tab/>
      </w:r>
      <w:r>
        <w:rPr>
          <w:rFonts w:ascii="Times New Roman" w:hAnsi="Times New Roman"/>
          <w:color w:val="auto"/>
          <w:sz w:val="24"/>
          <w:szCs w:val="24"/>
        </w:rPr>
        <w:t>Prețul unitar va fi exprimat în lei, fără TVA, cu două zecimale și va rămâne neschimbat pe perioada de valabilitate a ofertei, de 120 de zile.</w:t>
      </w:r>
    </w:p>
    <w:p>
      <w:pPr>
        <w:pStyle w:val="Normal"/>
        <w:bidi w:val="0"/>
        <w:jc w:val="both"/>
        <w:rPr>
          <w:rFonts w:ascii="Times New Roman" w:hAnsi="Times New Roman"/>
          <w:sz w:val="24"/>
          <w:szCs w:val="24"/>
        </w:rPr>
      </w:pPr>
      <w:r>
        <w:rPr>
          <w:rFonts w:ascii="Times New Roman" w:hAnsi="Times New Roman"/>
          <w:sz w:val="24"/>
          <w:szCs w:val="24"/>
        </w:rPr>
        <w:tab/>
        <w:t>Ofertantul va evidenția distinct valoarea TVA aferentă,și valoarea totală cu TVA</w:t>
      </w:r>
    </w:p>
    <w:p>
      <w:pPr>
        <w:pStyle w:val="Normal"/>
        <w:bidi w:val="0"/>
        <w:jc w:val="both"/>
        <w:rPr>
          <w:rFonts w:ascii="Times New Roman" w:hAnsi="Times New Roman"/>
          <w:sz w:val="24"/>
          <w:szCs w:val="24"/>
        </w:rPr>
      </w:pPr>
      <w:r>
        <w:rPr>
          <w:rFonts w:ascii="Times New Roman" w:hAnsi="Times New Roman"/>
          <w:sz w:val="24"/>
          <w:szCs w:val="24"/>
        </w:rPr>
        <w:t>inclusă, în vederea verificării încadrării în valoarea maximă finanțată prin Programul AFM.</w:t>
      </w:r>
    </w:p>
    <w:p>
      <w:pPr>
        <w:pStyle w:val="Normal"/>
        <w:bidi w:val="0"/>
        <w:jc w:val="both"/>
        <w:rPr>
          <w:rFonts w:ascii="Times New Roman" w:hAnsi="Times New Roman"/>
          <w:sz w:val="24"/>
          <w:szCs w:val="24"/>
        </w:rPr>
      </w:pPr>
      <w:r>
        <w:rPr>
          <w:rFonts w:ascii="Times New Roman" w:hAnsi="Times New Roman"/>
          <w:sz w:val="24"/>
          <w:szCs w:val="24"/>
        </w:rPr>
        <w:tab/>
        <w:t>Operatorii economici care nu sunt plătitori de TVA vor prezenta oferta cu această mențiune.</w:t>
      </w:r>
    </w:p>
    <w:p>
      <w:pPr>
        <w:pStyle w:val="Normal"/>
        <w:bidi w:val="0"/>
        <w:jc w:val="both"/>
        <w:rPr>
          <w:rFonts w:ascii="Times New Roman" w:hAnsi="Times New Roman"/>
          <w:sz w:val="24"/>
          <w:szCs w:val="24"/>
        </w:rPr>
      </w:pPr>
      <w:r>
        <w:rPr>
          <w:rFonts w:ascii="Times New Roman" w:hAnsi="Times New Roman"/>
          <w:sz w:val="24"/>
          <w:szCs w:val="24"/>
        </w:rPr>
        <w:tab/>
        <w:t>Ofertantul va completa formularele anexate la prezentul caiet de sarcini.</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jc w:val="end"/>
        <w:rPr>
          <w:rFonts w:ascii="Times New Roman" w:hAnsi="Times New Roman"/>
          <w:sz w:val="24"/>
          <w:szCs w:val="24"/>
        </w:rPr>
      </w:pPr>
      <w:r>
        <w:rPr>
          <w:rFonts w:ascii="Times New Roman" w:hAnsi="Times New Roman"/>
          <w:sz w:val="24"/>
          <w:szCs w:val="24"/>
        </w:rPr>
      </w:r>
    </w:p>
    <w:p>
      <w:pPr>
        <w:pStyle w:val="Normal"/>
        <w:bidi w:val="0"/>
        <w:jc w:val="end"/>
        <w:rPr>
          <w:rFonts w:ascii="Times New Roman" w:hAnsi="Times New Roman"/>
          <w:sz w:val="24"/>
          <w:szCs w:val="24"/>
        </w:rPr>
      </w:pPr>
      <w:r>
        <w:rPr>
          <w:rFonts w:ascii="Times New Roman" w:hAnsi="Times New Roman"/>
          <w:sz w:val="24"/>
          <w:szCs w:val="24"/>
        </w:rPr>
      </w:r>
    </w:p>
    <w:p>
      <w:pPr>
        <w:pStyle w:val="Normal"/>
        <w:bidi w:val="0"/>
        <w:jc w:val="end"/>
        <w:rPr>
          <w:rFonts w:ascii="Times New Roman" w:hAnsi="Times New Roman"/>
          <w:sz w:val="24"/>
          <w:szCs w:val="24"/>
        </w:rPr>
      </w:pPr>
      <w:r>
        <w:rPr>
          <w:rFonts w:ascii="Times New Roman" w:hAnsi="Times New Roman"/>
          <w:sz w:val="24"/>
          <w:szCs w:val="24"/>
        </w:rPr>
        <w:t>Întocmit,</w:t>
      </w:r>
    </w:p>
    <w:p>
      <w:pPr>
        <w:pStyle w:val="Normal"/>
        <w:bidi w:val="0"/>
        <w:jc w:val="end"/>
        <w:rPr>
          <w:rFonts w:ascii="Times New Roman" w:hAnsi="Times New Roman"/>
          <w:sz w:val="24"/>
          <w:szCs w:val="24"/>
        </w:rPr>
      </w:pPr>
      <w:r>
        <w:rPr>
          <w:rFonts w:ascii="Times New Roman" w:hAnsi="Times New Roman"/>
          <w:sz w:val="24"/>
          <w:szCs w:val="24"/>
        </w:rPr>
        <w:t>Dinculeasa Ștefan</w:t>
      </w:r>
    </w:p>
    <w:p>
      <w:pPr>
        <w:pStyle w:val="Normal"/>
        <w:bidi w:val="0"/>
        <w:spacing w:lineRule="exact" w:line="266" w:before="1" w:after="0"/>
        <w:ind w:hanging="0" w:start="0" w:end="605"/>
        <w:jc w:val="center"/>
        <w:rPr>
          <w:rFonts w:ascii="Times New Roman" w:hAnsi="Times New Roman"/>
          <w:b/>
          <w:sz w:val="24"/>
          <w:szCs w:val="24"/>
        </w:rPr>
      </w:pPr>
      <w:r>
        <w:rPr>
          <w:rFonts w:ascii="Times New Roman" w:hAnsi="Times New Roman"/>
          <w:b/>
          <w:sz w:val="24"/>
          <w:szCs w:val="24"/>
        </w:rPr>
      </w:r>
    </w:p>
    <w:p>
      <w:pPr>
        <w:pStyle w:val="Normal"/>
        <w:bidi w:val="0"/>
        <w:spacing w:lineRule="exact" w:line="266" w:before="1" w:after="0"/>
        <w:ind w:hanging="0" w:start="0" w:end="605"/>
        <w:jc w:val="center"/>
        <w:rPr>
          <w:rFonts w:ascii="Times New Roman" w:hAnsi="Times New Roman"/>
          <w:b/>
          <w:sz w:val="24"/>
          <w:szCs w:val="24"/>
        </w:rPr>
      </w:pPr>
      <w:r>
        <w:rPr>
          <w:rFonts w:ascii="Times New Roman" w:hAnsi="Times New Roman"/>
          <w:b/>
          <w:sz w:val="24"/>
          <w:szCs w:val="24"/>
        </w:rPr>
      </w:r>
    </w:p>
    <w:p>
      <w:pPr>
        <w:pStyle w:val="Normal"/>
        <w:bidi w:val="0"/>
        <w:spacing w:lineRule="exact" w:line="266" w:before="1" w:after="0"/>
        <w:ind w:hanging="0" w:start="0" w:end="605"/>
        <w:jc w:val="center"/>
        <w:rPr>
          <w:rFonts w:ascii="Times New Roman" w:hAnsi="Times New Roman"/>
          <w:b/>
          <w:sz w:val="24"/>
          <w:szCs w:val="24"/>
        </w:rPr>
      </w:pPr>
      <w:r>
        <w:rPr>
          <w:rFonts w:ascii="Times New Roman" w:hAnsi="Times New Roman"/>
          <w:b/>
          <w:sz w:val="24"/>
          <w:szCs w:val="24"/>
        </w:rPr>
      </w:r>
    </w:p>
    <w:p>
      <w:pPr>
        <w:pStyle w:val="Normal"/>
        <w:bidi w:val="0"/>
        <w:spacing w:lineRule="exact" w:line="266" w:before="1" w:after="0"/>
        <w:ind w:hanging="0" w:start="0" w:end="605"/>
        <w:jc w:val="center"/>
        <w:rPr>
          <w:rFonts w:ascii="Times New Roman" w:hAnsi="Times New Roman"/>
          <w:b/>
          <w:sz w:val="24"/>
          <w:szCs w:val="24"/>
        </w:rPr>
      </w:pPr>
      <w:r>
        <w:rPr>
          <w:rFonts w:ascii="Times New Roman" w:hAnsi="Times New Roman"/>
          <w:b/>
          <w:sz w:val="24"/>
          <w:szCs w:val="24"/>
        </w:rPr>
      </w:r>
    </w:p>
    <w:p>
      <w:pPr>
        <w:pStyle w:val="Normal"/>
        <w:bidi w:val="0"/>
        <w:spacing w:lineRule="exact" w:line="266" w:before="1" w:after="0"/>
        <w:ind w:hanging="0" w:start="0" w:end="605"/>
        <w:jc w:val="center"/>
        <w:rPr>
          <w:rFonts w:ascii="Times New Roman" w:hAnsi="Times New Roman"/>
          <w:b/>
          <w:sz w:val="24"/>
          <w:szCs w:val="24"/>
        </w:rPr>
      </w:pPr>
      <w:r>
        <w:rPr>
          <w:rFonts w:ascii="Times New Roman" w:hAnsi="Times New Roman"/>
          <w:b/>
          <w:sz w:val="24"/>
          <w:szCs w:val="24"/>
        </w:rPr>
      </w:r>
    </w:p>
    <w:p>
      <w:pPr>
        <w:pStyle w:val="Normal"/>
        <w:bidi w:val="0"/>
        <w:spacing w:lineRule="exact" w:line="266" w:before="1" w:after="0"/>
        <w:ind w:hanging="0" w:start="0" w:end="605"/>
        <w:jc w:val="center"/>
        <w:rPr>
          <w:rFonts w:ascii="Times New Roman" w:hAnsi="Times New Roman"/>
          <w:b/>
          <w:sz w:val="24"/>
          <w:szCs w:val="24"/>
        </w:rPr>
      </w:pPr>
      <w:r>
        <w:rPr>
          <w:rFonts w:ascii="Times New Roman" w:hAnsi="Times New Roman"/>
          <w:b/>
          <w:sz w:val="24"/>
          <w:szCs w:val="24"/>
        </w:rPr>
      </w:r>
    </w:p>
    <w:p>
      <w:pPr>
        <w:pStyle w:val="Normal"/>
        <w:bidi w:val="0"/>
        <w:spacing w:lineRule="exact" w:line="266" w:before="1" w:after="0"/>
        <w:ind w:hanging="0" w:start="0" w:end="605"/>
        <w:jc w:val="center"/>
        <w:rPr>
          <w:rFonts w:ascii="Times New Roman" w:hAnsi="Times New Roman"/>
          <w:b/>
          <w:sz w:val="24"/>
          <w:szCs w:val="24"/>
        </w:rPr>
      </w:pPr>
      <w:r>
        <w:rPr>
          <w:rFonts w:ascii="Times New Roman" w:hAnsi="Times New Roman"/>
          <w:b/>
          <w:sz w:val="24"/>
          <w:szCs w:val="24"/>
        </w:rPr>
      </w:r>
    </w:p>
    <w:p>
      <w:pPr>
        <w:pStyle w:val="Normal"/>
        <w:bidi w:val="0"/>
        <w:spacing w:lineRule="exact" w:line="266" w:before="1" w:after="0"/>
        <w:ind w:hanging="0" w:start="0" w:end="605"/>
        <w:jc w:val="center"/>
        <w:rPr>
          <w:rFonts w:ascii="Times New Roman" w:hAnsi="Times New Roman"/>
          <w:b/>
          <w:sz w:val="24"/>
          <w:szCs w:val="24"/>
        </w:rPr>
      </w:pPr>
      <w:r>
        <w:rPr>
          <w:rFonts w:ascii="Times New Roman" w:hAnsi="Times New Roman"/>
          <w:b/>
          <w:sz w:val="24"/>
          <w:szCs w:val="24"/>
        </w:rPr>
      </w:r>
    </w:p>
    <w:p>
      <w:pPr>
        <w:pStyle w:val="Normal"/>
        <w:bidi w:val="0"/>
        <w:spacing w:lineRule="exact" w:line="266" w:before="1" w:after="0"/>
        <w:ind w:hanging="0" w:start="0" w:end="605"/>
        <w:jc w:val="center"/>
        <w:rPr>
          <w:rFonts w:ascii="Times New Roman" w:hAnsi="Times New Roman"/>
          <w:b/>
          <w:sz w:val="24"/>
          <w:szCs w:val="24"/>
        </w:rPr>
      </w:pPr>
      <w:r>
        <w:rPr>
          <w:rFonts w:ascii="Times New Roman" w:hAnsi="Times New Roman"/>
          <w:b/>
          <w:sz w:val="24"/>
          <w:szCs w:val="24"/>
        </w:rPr>
      </w:r>
    </w:p>
    <w:p>
      <w:pPr>
        <w:pStyle w:val="Normal"/>
        <w:bidi w:val="0"/>
        <w:spacing w:lineRule="exact" w:line="266" w:before="1" w:after="0"/>
        <w:ind w:hanging="0" w:start="0" w:end="605"/>
        <w:jc w:val="center"/>
        <w:rPr>
          <w:rFonts w:ascii="Times New Roman" w:hAnsi="Times New Roman"/>
          <w:b/>
          <w:sz w:val="24"/>
          <w:szCs w:val="24"/>
        </w:rPr>
      </w:pPr>
      <w:r>
        <w:rPr>
          <w:rFonts w:ascii="Times New Roman" w:hAnsi="Times New Roman"/>
          <w:b/>
          <w:sz w:val="24"/>
          <w:szCs w:val="24"/>
        </w:rPr>
      </w:r>
    </w:p>
    <w:p>
      <w:pPr>
        <w:pStyle w:val="Normal"/>
        <w:bidi w:val="0"/>
        <w:spacing w:lineRule="exact" w:line="266" w:before="1" w:after="0"/>
        <w:ind w:hanging="0" w:start="0" w:end="605"/>
        <w:jc w:val="center"/>
        <w:rPr>
          <w:rFonts w:ascii="Times New Roman" w:hAnsi="Times New Roman"/>
          <w:b/>
          <w:sz w:val="24"/>
          <w:szCs w:val="24"/>
        </w:rPr>
      </w:pPr>
      <w:r>
        <w:rPr>
          <w:rFonts w:ascii="Times New Roman" w:hAnsi="Times New Roman"/>
          <w:b/>
          <w:sz w:val="24"/>
          <w:szCs w:val="24"/>
        </w:rPr>
      </w:r>
    </w:p>
    <w:p>
      <w:pPr>
        <w:pStyle w:val="Normal"/>
        <w:bidi w:val="0"/>
        <w:spacing w:lineRule="exact" w:line="266" w:before="1" w:after="0"/>
        <w:ind w:hanging="0" w:start="0" w:end="605"/>
        <w:jc w:val="center"/>
        <w:rPr>
          <w:rFonts w:ascii="Times New Roman" w:hAnsi="Times New Roman"/>
          <w:b/>
          <w:sz w:val="24"/>
          <w:szCs w:val="24"/>
        </w:rPr>
      </w:pPr>
      <w:r>
        <w:rPr>
          <w:rFonts w:ascii="Times New Roman" w:hAnsi="Times New Roman"/>
          <w:b/>
          <w:sz w:val="24"/>
          <w:szCs w:val="24"/>
        </w:rPr>
      </w:r>
    </w:p>
    <w:p>
      <w:pPr>
        <w:pStyle w:val="Normal"/>
        <w:bidi w:val="0"/>
        <w:spacing w:lineRule="exact" w:line="266" w:before="1" w:after="0"/>
        <w:ind w:hanging="0" w:start="0" w:end="605"/>
        <w:jc w:val="center"/>
        <w:rPr>
          <w:rFonts w:ascii="Times New Roman" w:hAnsi="Times New Roman"/>
          <w:b/>
          <w:sz w:val="24"/>
          <w:szCs w:val="24"/>
        </w:rPr>
      </w:pPr>
      <w:r>
        <w:rPr>
          <w:rFonts w:ascii="Times New Roman" w:hAnsi="Times New Roman"/>
          <w:b/>
          <w:sz w:val="24"/>
          <w:szCs w:val="24"/>
        </w:rPr>
      </w:r>
    </w:p>
    <w:p>
      <w:pPr>
        <w:pStyle w:val="Normal"/>
        <w:bidi w:val="0"/>
        <w:spacing w:lineRule="exact" w:line="266" w:before="1" w:after="0"/>
        <w:ind w:hanging="0" w:start="0" w:end="605"/>
        <w:jc w:val="center"/>
        <w:rPr>
          <w:rFonts w:ascii="Times New Roman" w:hAnsi="Times New Roman"/>
          <w:b/>
          <w:sz w:val="24"/>
          <w:szCs w:val="24"/>
        </w:rPr>
      </w:pPr>
      <w:r>
        <w:rPr>
          <w:rFonts w:ascii="Times New Roman" w:hAnsi="Times New Roman"/>
          <w:b/>
          <w:sz w:val="24"/>
          <w:szCs w:val="24"/>
        </w:rPr>
      </w:r>
    </w:p>
    <w:p>
      <w:pPr>
        <w:pStyle w:val="Normal"/>
        <w:bidi w:val="0"/>
        <w:spacing w:lineRule="exact" w:line="266" w:before="1" w:after="0"/>
        <w:ind w:hanging="0" w:start="0" w:end="605"/>
        <w:jc w:val="center"/>
        <w:rPr>
          <w:rFonts w:ascii="Times New Roman" w:hAnsi="Times New Roman"/>
          <w:b/>
          <w:sz w:val="24"/>
          <w:szCs w:val="24"/>
        </w:rPr>
      </w:pPr>
      <w:r>
        <w:rPr>
          <w:rFonts w:ascii="Times New Roman" w:hAnsi="Times New Roman"/>
          <w:b/>
          <w:sz w:val="24"/>
          <w:szCs w:val="24"/>
        </w:rPr>
      </w:r>
    </w:p>
    <w:p>
      <w:pPr>
        <w:pStyle w:val="Normal"/>
        <w:bidi w:val="0"/>
        <w:spacing w:lineRule="exact" w:line="266" w:before="1" w:after="0"/>
        <w:ind w:hanging="0" w:start="0" w:end="605"/>
        <w:jc w:val="center"/>
        <w:rPr>
          <w:rFonts w:ascii="Times New Roman" w:hAnsi="Times New Roman"/>
          <w:sz w:val="24"/>
          <w:szCs w:val="24"/>
        </w:rPr>
      </w:pPr>
      <w:r>
        <w:rPr>
          <w:rFonts w:ascii="Times New Roman" w:hAnsi="Times New Roman"/>
          <w:b/>
          <w:color w:val="3D3F42"/>
          <w:sz w:val="24"/>
          <w:szCs w:val="24"/>
        </w:rPr>
        <w:t>INVITAȚIE</w:t>
      </w:r>
      <w:r>
        <w:rPr>
          <w:rFonts w:ascii="Times New Roman" w:hAnsi="Times New Roman"/>
          <w:b/>
          <w:color w:val="3D3F42"/>
          <w:spacing w:val="26"/>
          <w:sz w:val="24"/>
          <w:szCs w:val="24"/>
        </w:rPr>
        <w:t xml:space="preserve"> </w:t>
      </w:r>
      <w:r>
        <w:rPr>
          <w:rFonts w:ascii="Times New Roman" w:hAnsi="Times New Roman"/>
          <w:b/>
          <w:color w:val="3D3F42"/>
          <w:sz w:val="24"/>
          <w:szCs w:val="24"/>
        </w:rPr>
        <w:t>DE</w:t>
      </w:r>
      <w:r>
        <w:rPr>
          <w:rFonts w:ascii="Times New Roman" w:hAnsi="Times New Roman"/>
          <w:b/>
          <w:color w:val="3D3F42"/>
          <w:spacing w:val="9"/>
          <w:sz w:val="24"/>
          <w:szCs w:val="24"/>
        </w:rPr>
        <w:t xml:space="preserve"> </w:t>
      </w:r>
      <w:r>
        <w:rPr>
          <w:rFonts w:ascii="Times New Roman" w:hAnsi="Times New Roman"/>
          <w:b/>
          <w:color w:val="3D3F42"/>
          <w:spacing w:val="-2"/>
          <w:sz w:val="24"/>
          <w:szCs w:val="24"/>
        </w:rPr>
        <w:t>PARTICIPARE</w:t>
      </w:r>
    </w:p>
    <w:p>
      <w:pPr>
        <w:pStyle w:val="Normal"/>
        <w:tabs>
          <w:tab w:val="clear" w:pos="709"/>
          <w:tab w:val="left" w:pos="540" w:leader="none"/>
        </w:tabs>
        <w:bidi w:val="0"/>
        <w:spacing w:lineRule="exact" w:line="369" w:before="0" w:after="0"/>
        <w:ind w:hanging="0" w:start="0" w:end="1134"/>
        <w:jc w:val="center"/>
        <w:rPr>
          <w:rFonts w:ascii="Times New Roman" w:hAnsi="Times New Roman"/>
          <w:sz w:val="24"/>
          <w:szCs w:val="24"/>
        </w:rPr>
      </w:pPr>
      <w:r>
        <w:rPr>
          <w:rFonts w:ascii="Times New Roman" w:hAnsi="Times New Roman"/>
          <w:color w:val="3D3F42"/>
          <w:spacing w:val="-10"/>
          <w:position w:val="15"/>
          <w:sz w:val="24"/>
          <w:szCs w:val="24"/>
        </w:rPr>
        <w:t>'</w:t>
      </w:r>
      <w:r>
        <w:rPr>
          <w:rFonts w:ascii="Times New Roman" w:hAnsi="Times New Roman"/>
          <w:color w:val="3D3F42"/>
          <w:position w:val="15"/>
          <w:sz w:val="24"/>
          <w:szCs w:val="24"/>
        </w:rPr>
        <w:tab/>
      </w:r>
      <w:r>
        <w:rPr>
          <w:rFonts w:ascii="Times New Roman" w:hAnsi="Times New Roman"/>
          <w:b/>
          <w:color w:val="3D3F42"/>
          <w:spacing w:val="-2"/>
          <w:sz w:val="24"/>
          <w:szCs w:val="24"/>
        </w:rPr>
        <w:t>Către</w:t>
      </w:r>
    </w:p>
    <w:p>
      <w:pPr>
        <w:pStyle w:val="Normal"/>
        <w:bidi w:val="0"/>
        <w:spacing w:lineRule="exact" w:line="266" w:before="7" w:after="0"/>
        <w:ind w:hanging="0" w:start="0" w:end="614"/>
        <w:jc w:val="center"/>
        <w:rPr>
          <w:rFonts w:ascii="Times New Roman" w:hAnsi="Times New Roman"/>
          <w:sz w:val="24"/>
          <w:szCs w:val="24"/>
        </w:rPr>
      </w:pPr>
      <w:r>
        <w:rPr>
          <w:rFonts w:ascii="Times New Roman" w:hAnsi="Times New Roman"/>
          <w:b/>
          <w:color w:val="3D3F42"/>
          <w:sz w:val="24"/>
          <w:szCs w:val="24"/>
        </w:rPr>
        <w:t>OPERATORII</w:t>
      </w:r>
      <w:r>
        <w:rPr>
          <w:rFonts w:ascii="Times New Roman" w:hAnsi="Times New Roman"/>
          <w:b/>
          <w:color w:val="3D3F42"/>
          <w:spacing w:val="25"/>
          <w:sz w:val="24"/>
          <w:szCs w:val="24"/>
        </w:rPr>
        <w:t xml:space="preserve"> </w:t>
      </w:r>
      <w:r>
        <w:rPr>
          <w:rFonts w:ascii="Times New Roman" w:hAnsi="Times New Roman"/>
          <w:b/>
          <w:color w:val="3D3F42"/>
          <w:sz w:val="24"/>
          <w:szCs w:val="24"/>
        </w:rPr>
        <w:t>ECONOMICI</w:t>
      </w:r>
      <w:r>
        <w:rPr>
          <w:rFonts w:ascii="Times New Roman" w:hAnsi="Times New Roman"/>
          <w:b/>
          <w:color w:val="3D3F42"/>
          <w:spacing w:val="23"/>
          <w:sz w:val="24"/>
          <w:szCs w:val="24"/>
        </w:rPr>
        <w:t xml:space="preserve"> </w:t>
      </w:r>
      <w:r>
        <w:rPr>
          <w:rFonts w:ascii="Times New Roman" w:hAnsi="Times New Roman"/>
          <w:b/>
          <w:color w:val="3D3F42"/>
          <w:spacing w:val="-2"/>
          <w:sz w:val="24"/>
          <w:szCs w:val="24"/>
        </w:rPr>
        <w:t>INTERESAȚI</w:t>
      </w:r>
    </w:p>
    <w:p>
      <w:pPr>
        <w:pStyle w:val="Normal"/>
        <w:bidi w:val="0"/>
        <w:spacing w:lineRule="exact" w:line="197" w:before="0" w:after="0"/>
        <w:ind w:hanging="0" w:start="0" w:end="3545"/>
        <w:jc w:val="end"/>
        <w:rPr>
          <w:rFonts w:ascii="Times New Roman" w:hAnsi="Times New Roman"/>
          <w:sz w:val="24"/>
          <w:szCs w:val="24"/>
        </w:rPr>
      </w:pPr>
      <w:r>
        <w:rPr>
          <w:rFonts w:ascii="Times New Roman" w:hAnsi="Times New Roman"/>
          <w:color w:val="3D3F42"/>
          <w:spacing w:val="-10"/>
          <w:sz w:val="24"/>
          <w:szCs w:val="24"/>
        </w:rPr>
        <w:t>'</w:t>
      </w:r>
    </w:p>
    <w:p>
      <w:pPr>
        <w:pStyle w:val="BodyText"/>
        <w:bidi w:val="0"/>
        <w:jc w:val="start"/>
        <w:rPr>
          <w:rFonts w:ascii="Times New Roman" w:hAnsi="Times New Roman"/>
          <w:sz w:val="24"/>
          <w:szCs w:val="24"/>
        </w:rPr>
      </w:pPr>
      <w:r>
        <w:rPr>
          <w:rFonts w:ascii="Times New Roman" w:hAnsi="Times New Roman"/>
          <w:sz w:val="24"/>
          <w:szCs w:val="24"/>
        </w:rPr>
      </w:r>
    </w:p>
    <w:p>
      <w:pPr>
        <w:pStyle w:val="Normal"/>
        <w:numPr>
          <w:ilvl w:val="0"/>
          <w:numId w:val="2"/>
        </w:numPr>
        <w:bidi w:val="0"/>
        <w:jc w:val="both"/>
        <w:rPr>
          <w:rFonts w:ascii="Times New Roman" w:hAnsi="Times New Roman"/>
          <w:sz w:val="24"/>
          <w:szCs w:val="24"/>
        </w:rPr>
      </w:pPr>
      <w:r>
        <w:rPr>
          <w:rFonts w:ascii="Times New Roman" w:hAnsi="Times New Roman"/>
          <w:b/>
          <w:bCs/>
          <w:sz w:val="24"/>
          <w:szCs w:val="24"/>
        </w:rPr>
        <w:t>Autoritatea contractantă</w:t>
      </w:r>
    </w:p>
    <w:p>
      <w:pPr>
        <w:pStyle w:val="Normal"/>
        <w:bidi w:val="0"/>
        <w:jc w:val="both"/>
        <w:rPr>
          <w:rFonts w:ascii="Times New Roman" w:hAnsi="Times New Roman"/>
          <w:sz w:val="24"/>
          <w:szCs w:val="24"/>
        </w:rPr>
      </w:pPr>
      <w:r>
        <w:rPr>
          <w:rFonts w:ascii="Times New Roman" w:hAnsi="Times New Roman"/>
          <w:sz w:val="24"/>
          <w:szCs w:val="24"/>
        </w:rPr>
        <w:t>Denumire: OPERA ROMÂNĂ CRAIOVA</w:t>
      </w:r>
    </w:p>
    <w:p>
      <w:pPr>
        <w:pStyle w:val="Normal"/>
        <w:bidi w:val="0"/>
        <w:jc w:val="both"/>
        <w:rPr>
          <w:rFonts w:ascii="Times New Roman" w:hAnsi="Times New Roman"/>
          <w:sz w:val="24"/>
          <w:szCs w:val="24"/>
        </w:rPr>
      </w:pPr>
      <w:r>
        <w:rPr>
          <w:rFonts w:ascii="Times New Roman" w:hAnsi="Times New Roman"/>
          <w:sz w:val="24"/>
          <w:szCs w:val="24"/>
        </w:rPr>
        <w:t>Adresa: Str. Popoveni, nr. 3C, municipiul Craiova, judetul Dolj, Cod fiscal: 4553186</w:t>
      </w:r>
    </w:p>
    <w:p>
      <w:pPr>
        <w:pStyle w:val="Normal"/>
        <w:bidi w:val="0"/>
        <w:jc w:val="both"/>
        <w:rPr>
          <w:rFonts w:ascii="Times New Roman" w:hAnsi="Times New Roman"/>
          <w:sz w:val="24"/>
          <w:szCs w:val="24"/>
        </w:rPr>
      </w:pPr>
      <w:r>
        <w:rPr>
          <w:rFonts w:ascii="Times New Roman" w:hAnsi="Times New Roman"/>
          <w:sz w:val="24"/>
          <w:szCs w:val="24"/>
        </w:rPr>
        <w:t>Telefon: 0251/428.426.</w:t>
      </w:r>
    </w:p>
    <w:p>
      <w:pPr>
        <w:pStyle w:val="Normal"/>
        <w:bidi w:val="0"/>
        <w:jc w:val="both"/>
        <w:rPr/>
      </w:pPr>
      <w:r>
        <w:drawing>
          <wp:anchor distT="0" distB="0" distL="0" distR="0" simplePos="0" relativeHeight="3" behindDoc="0" locked="0" layoutInCell="0" allowOverlap="1">
            <wp:simplePos x="0" y="0"/>
            <wp:positionH relativeFrom="page">
              <wp:posOffset>7428865</wp:posOffset>
            </wp:positionH>
            <wp:positionV relativeFrom="paragraph">
              <wp:posOffset>64770</wp:posOffset>
            </wp:positionV>
            <wp:extent cx="91440" cy="875665"/>
            <wp:effectExtent l="0" t="0" r="0" b="0"/>
            <wp:wrapNone/>
            <wp:docPr id="2"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9"/>
                    <pic:cNvPicPr>
                      <a:picLocks noChangeAspect="1" noChangeArrowheads="1"/>
                    </pic:cNvPicPr>
                  </pic:nvPicPr>
                  <pic:blipFill>
                    <a:blip r:embed="rId3"/>
                    <a:stretch>
                      <a:fillRect/>
                    </a:stretch>
                  </pic:blipFill>
                  <pic:spPr bwMode="auto">
                    <a:xfrm>
                      <a:off x="0" y="0"/>
                      <a:ext cx="91440" cy="875665"/>
                    </a:xfrm>
                    <a:prstGeom prst="rect">
                      <a:avLst/>
                    </a:prstGeom>
                    <a:noFill/>
                  </pic:spPr>
                </pic:pic>
              </a:graphicData>
            </a:graphic>
          </wp:anchor>
        </w:drawing>
      </w:r>
      <w:r>
        <w:rPr>
          <w:rFonts w:ascii="Times New Roman" w:hAnsi="Times New Roman"/>
          <w:sz w:val="24"/>
          <w:szCs w:val="24"/>
        </w:rPr>
        <w:t>E-mail: sectretariat</w:t>
      </w:r>
      <w:hyperlink r:id="rId4">
        <w:r>
          <w:rPr>
            <w:rStyle w:val="Style7"/>
            <w:rFonts w:ascii="Times New Roman" w:hAnsi="Times New Roman"/>
            <w:sz w:val="24"/>
            <w:szCs w:val="24"/>
          </w:rPr>
          <w:t>@operacraiova.com</w:t>
        </w:r>
      </w:hyperlink>
    </w:p>
    <w:p>
      <w:pPr>
        <w:pStyle w:val="Normal"/>
        <w:bidi w:val="0"/>
        <w:jc w:val="both"/>
        <w:rPr>
          <w:rFonts w:ascii="Times New Roman" w:hAnsi="Times New Roman"/>
          <w:sz w:val="24"/>
          <w:szCs w:val="24"/>
        </w:rPr>
      </w:pPr>
      <w:r>
        <w:rPr>
          <w:rFonts w:ascii="Times New Roman" w:hAnsi="Times New Roman"/>
          <w:sz w:val="24"/>
          <w:szCs w:val="24"/>
        </w:rPr>
      </w:r>
    </w:p>
    <w:p>
      <w:pPr>
        <w:pStyle w:val="Normal"/>
        <w:numPr>
          <w:ilvl w:val="0"/>
          <w:numId w:val="2"/>
        </w:numPr>
        <w:bidi w:val="0"/>
        <w:jc w:val="both"/>
        <w:rPr>
          <w:rFonts w:ascii="Times New Roman" w:hAnsi="Times New Roman"/>
          <w:sz w:val="24"/>
          <w:szCs w:val="24"/>
        </w:rPr>
      </w:pPr>
      <w:r>
        <w:rPr>
          <w:rFonts w:ascii="Times New Roman" w:hAnsi="Times New Roman"/>
          <w:b/>
          <w:bCs/>
          <w:sz w:val="24"/>
          <w:szCs w:val="24"/>
        </w:rPr>
        <w:t>Obiectul achiziției</w:t>
      </w:r>
    </w:p>
    <w:p>
      <w:pPr>
        <w:pStyle w:val="Normal"/>
        <w:numPr>
          <w:ilvl w:val="0"/>
          <w:numId w:val="0"/>
        </w:numPr>
        <w:bidi w:val="0"/>
        <w:ind w:hanging="0" w:start="382"/>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Achiziția are ca obiect:</w:t>
      </w:r>
    </w:p>
    <w:p>
      <w:pPr>
        <w:pStyle w:val="Normal"/>
        <w:bidi w:val="0"/>
        <w:jc w:val="both"/>
        <w:rPr>
          <w:rFonts w:ascii="Times New Roman" w:hAnsi="Times New Roman"/>
          <w:sz w:val="24"/>
          <w:szCs w:val="24"/>
        </w:rPr>
      </w:pPr>
      <w:r>
        <w:rPr>
          <w:rFonts w:ascii="Times New Roman" w:hAnsi="Times New Roman"/>
          <w:sz w:val="24"/>
          <w:szCs w:val="24"/>
        </w:rPr>
        <w:t>Achiziția unui autovehicul nepoluant prin Programul privind reducerea emisiilor de gaze cu efect de seră în transporturi prin promovarea vehiculelor de transport rutier nepoluante și eficiente din punct de vedere energetic 2025-2030.</w:t>
      </w:r>
    </w:p>
    <w:p>
      <w:pPr>
        <w:pStyle w:val="Normal"/>
        <w:bidi w:val="0"/>
        <w:jc w:val="both"/>
        <w:rPr>
          <w:rFonts w:ascii="Times New Roman" w:hAnsi="Times New Roman"/>
          <w:sz w:val="24"/>
          <w:szCs w:val="24"/>
        </w:rPr>
      </w:pPr>
      <w:r>
        <w:rPr>
          <w:rFonts w:ascii="Times New Roman" w:hAnsi="Times New Roman"/>
          <w:sz w:val="24"/>
          <w:szCs w:val="24"/>
        </w:rPr>
        <w:t>Cod CPV: 34144900-7 - Vehicule electrice.</w:t>
      </w:r>
    </w:p>
    <w:p>
      <w:pPr>
        <w:pStyle w:val="Normal"/>
        <w:bidi w:val="0"/>
        <w:jc w:val="both"/>
        <w:rPr>
          <w:rFonts w:ascii="Times New Roman" w:hAnsi="Times New Roman"/>
          <w:sz w:val="24"/>
          <w:szCs w:val="24"/>
        </w:rPr>
      </w:pPr>
      <w:r>
        <w:rPr>
          <w:rFonts w:ascii="Times New Roman" w:hAnsi="Times New Roman"/>
          <w:sz w:val="24"/>
          <w:szCs w:val="24"/>
        </w:rPr>
        <w:t>Obiectul contractului îl reprezintă furnizarea, livrarea și punerea în funcțiune a unui autovehicul nou, nepoluant, eligibil conform prevederilor Programului Administratiei Fondului pentru Mediu aplicabil la data achiziției.</w:t>
      </w:r>
    </w:p>
    <w:p>
      <w:pPr>
        <w:pStyle w:val="Normal"/>
        <w:bidi w:val="0"/>
        <w:jc w:val="both"/>
        <w:rPr>
          <w:rFonts w:ascii="Times New Roman" w:hAnsi="Times New Roman"/>
          <w:sz w:val="24"/>
          <w:szCs w:val="24"/>
        </w:rPr>
      </w:pPr>
      <w:r>
        <w:rPr>
          <w:rFonts w:ascii="Times New Roman" w:hAnsi="Times New Roman"/>
          <w:sz w:val="24"/>
          <w:szCs w:val="24"/>
        </w:rPr>
        <w:t xml:space="preserve">Autovehiculele ofertate trebuie să îndeplinească cerințele tehnice minime prevăzute în Caietul de sarcini și </w:t>
      </w:r>
    </w:p>
    <w:p>
      <w:pPr>
        <w:pStyle w:val="Normal"/>
        <w:bidi w:val="0"/>
        <w:jc w:val="both"/>
        <w:rPr>
          <w:rFonts w:ascii="Times New Roman" w:hAnsi="Times New Roman"/>
          <w:sz w:val="24"/>
          <w:szCs w:val="24"/>
        </w:rPr>
      </w:pPr>
      <w:r>
        <w:rPr>
          <w:rFonts w:ascii="Times New Roman" w:hAnsi="Times New Roman"/>
          <w:sz w:val="24"/>
          <w:szCs w:val="24"/>
        </w:rPr>
        <w:t>- să fie nouă;</w:t>
      </w:r>
    </w:p>
    <w:p>
      <w:pPr>
        <w:pStyle w:val="Normal"/>
        <w:bidi w:val="0"/>
        <w:jc w:val="both"/>
        <w:rPr>
          <w:rFonts w:ascii="Times New Roman" w:hAnsi="Times New Roman"/>
          <w:sz w:val="24"/>
          <w:szCs w:val="24"/>
        </w:rPr>
      </w:pPr>
      <w:r>
        <w:rPr>
          <w:rFonts w:ascii="Times New Roman" w:hAnsi="Times New Roman"/>
          <w:sz w:val="24"/>
          <w:szCs w:val="24"/>
        </w:rPr>
        <w:t>- neînmatriculată anterior;</w:t>
      </w:r>
    </w:p>
    <w:p>
      <w:pPr>
        <w:pStyle w:val="Normal"/>
        <w:bidi w:val="0"/>
        <w:jc w:val="both"/>
        <w:rPr>
          <w:rFonts w:ascii="Times New Roman" w:hAnsi="Times New Roman"/>
          <w:sz w:val="24"/>
          <w:szCs w:val="24"/>
        </w:rPr>
      </w:pPr>
      <w:r>
        <w:rPr>
          <w:rFonts w:ascii="Times New Roman" w:hAnsi="Times New Roman"/>
          <w:sz w:val="24"/>
          <w:szCs w:val="24"/>
        </w:rPr>
        <w:t>- fără kilometraj de exploatare, cu excepția testelor de fabrică și transport;</w:t>
      </w:r>
    </w:p>
    <w:p>
      <w:pPr>
        <w:pStyle w:val="Normal"/>
        <w:bidi w:val="0"/>
        <w:jc w:val="both"/>
        <w:rPr>
          <w:rFonts w:ascii="Times New Roman" w:hAnsi="Times New Roman"/>
          <w:sz w:val="24"/>
          <w:szCs w:val="24"/>
        </w:rPr>
      </w:pPr>
      <w:r>
        <w:rPr>
          <w:rFonts w:ascii="Times New Roman" w:hAnsi="Times New Roman"/>
          <w:sz w:val="24"/>
          <w:szCs w:val="24"/>
        </w:rPr>
        <w:t>- conform cu normele europene aplicabile la data livrării.</w:t>
      </w:r>
    </w:p>
    <w:p>
      <w:pPr>
        <w:pStyle w:val="Normal"/>
        <w:bidi w:val="0"/>
        <w:jc w:val="both"/>
        <w:rPr>
          <w:rFonts w:ascii="Times New Roman" w:hAnsi="Times New Roman"/>
          <w:sz w:val="24"/>
          <w:szCs w:val="24"/>
        </w:rPr>
      </w:pPr>
      <w:r>
        <w:rPr>
          <w:rFonts w:ascii="Times New Roman" w:hAnsi="Times New Roman"/>
          <w:sz w:val="24"/>
          <w:szCs w:val="24"/>
        </w:rPr>
        <w:t>Nu se acceptă oferte alternative.</w:t>
      </w:r>
    </w:p>
    <w:p>
      <w:pPr>
        <w:pStyle w:val="Normal"/>
        <w:bidi w:val="0"/>
        <w:jc w:val="both"/>
        <w:rPr>
          <w:rFonts w:ascii="Times New Roman" w:hAnsi="Times New Roman"/>
          <w:sz w:val="24"/>
          <w:szCs w:val="24"/>
        </w:rPr>
      </w:pPr>
      <w:r>
        <w:rPr>
          <w:rFonts w:ascii="Times New Roman" w:hAnsi="Times New Roman"/>
          <w:sz w:val="24"/>
          <w:szCs w:val="24"/>
        </w:rPr>
      </w:r>
    </w:p>
    <w:p>
      <w:pPr>
        <w:pStyle w:val="Normal"/>
        <w:numPr>
          <w:ilvl w:val="0"/>
          <w:numId w:val="2"/>
        </w:numPr>
        <w:bidi w:val="0"/>
        <w:jc w:val="both"/>
        <w:rPr>
          <w:rFonts w:ascii="Times New Roman" w:hAnsi="Times New Roman"/>
          <w:sz w:val="24"/>
          <w:szCs w:val="24"/>
        </w:rPr>
      </w:pPr>
      <w:r>
        <w:rPr>
          <w:rFonts w:ascii="Times New Roman" w:hAnsi="Times New Roman"/>
          <w:b/>
          <w:bCs/>
          <w:sz w:val="24"/>
          <w:szCs w:val="24"/>
        </w:rPr>
        <w:t>Sursa de finanțare</w:t>
      </w:r>
    </w:p>
    <w:p>
      <w:pPr>
        <w:pStyle w:val="Normal"/>
        <w:bidi w:val="0"/>
        <w:jc w:val="both"/>
        <w:rPr>
          <w:rFonts w:ascii="Times New Roman" w:hAnsi="Times New Roman"/>
          <w:sz w:val="24"/>
          <w:szCs w:val="24"/>
        </w:rPr>
      </w:pPr>
      <w:r>
        <w:rPr>
          <w:rFonts w:ascii="Times New Roman" w:hAnsi="Times New Roman"/>
          <w:sz w:val="24"/>
          <w:szCs w:val="24"/>
        </w:rPr>
        <w:t>Achiziția este finanțată din fonduri acordate de Administrația Fondului pentru Mediu (AFM), în baza Contractului de finanțare nr. 2851/02.07.2026, aferent dosarului de finanțare nr. RPUE01202541700152, depus în cadrul Programului privind reducerea emisiilor de gaze cu efect de seră în transporturi prin promovarea vehiculelor de transport rutier nepoluante și eficiente din punct de vedere energetic 2025-2030.</w:t>
      </w:r>
    </w:p>
    <w:p>
      <w:pPr>
        <w:pStyle w:val="Normal"/>
        <w:bidi w:val="0"/>
        <w:jc w:val="both"/>
        <w:rPr>
          <w:rFonts w:ascii="Times New Roman" w:hAnsi="Times New Roman"/>
          <w:sz w:val="24"/>
          <w:szCs w:val="24"/>
        </w:rPr>
      </w:pPr>
      <w:r>
        <w:rPr>
          <w:rFonts w:ascii="Times New Roman" w:hAnsi="Times New Roman"/>
          <w:sz w:val="24"/>
          <w:szCs w:val="24"/>
        </w:rPr>
      </w:r>
    </w:p>
    <w:p>
      <w:pPr>
        <w:pStyle w:val="Normal"/>
        <w:numPr>
          <w:ilvl w:val="0"/>
          <w:numId w:val="2"/>
        </w:numPr>
        <w:bidi w:val="0"/>
        <w:jc w:val="both"/>
        <w:rPr>
          <w:rFonts w:ascii="Times New Roman" w:hAnsi="Times New Roman"/>
          <w:sz w:val="24"/>
          <w:szCs w:val="24"/>
        </w:rPr>
      </w:pPr>
      <w:r>
        <w:rPr>
          <w:rFonts w:ascii="Times New Roman" w:hAnsi="Times New Roman"/>
          <w:b/>
          <w:bCs/>
          <w:sz w:val="24"/>
          <w:szCs w:val="24"/>
        </w:rPr>
        <w:t>Valoarea estimată a contractului este:</w:t>
      </w:r>
    </w:p>
    <w:p>
      <w:pPr>
        <w:pStyle w:val="Normal"/>
        <w:numPr>
          <w:ilvl w:val="1"/>
          <w:numId w:val="2"/>
        </w:numPr>
        <w:bidi w:val="0"/>
        <w:jc w:val="both"/>
        <w:rPr>
          <w:rFonts w:ascii="Times New Roman" w:hAnsi="Times New Roman"/>
          <w:sz w:val="24"/>
          <w:szCs w:val="24"/>
        </w:rPr>
      </w:pPr>
      <w:r>
        <w:rPr>
          <w:rFonts w:ascii="Times New Roman" w:hAnsi="Times New Roman"/>
          <w:sz w:val="24"/>
          <w:szCs w:val="24"/>
        </w:rPr>
        <w:t>99.173,55 lei fara TVA, respectiv</w:t>
      </w:r>
    </w:p>
    <w:p>
      <w:pPr>
        <w:pStyle w:val="Normal"/>
        <w:numPr>
          <w:ilvl w:val="1"/>
          <w:numId w:val="2"/>
        </w:numPr>
        <w:bidi w:val="0"/>
        <w:jc w:val="both"/>
        <w:rPr>
          <w:rFonts w:ascii="Times New Roman" w:hAnsi="Times New Roman"/>
          <w:sz w:val="24"/>
          <w:szCs w:val="24"/>
        </w:rPr>
      </w:pPr>
      <w:r>
        <w:rPr>
          <w:rFonts w:ascii="Times New Roman" w:hAnsi="Times New Roman"/>
          <w:sz w:val="24"/>
          <w:szCs w:val="24"/>
        </w:rPr>
        <w:t>120.000,00 lei inclusiv TVA.</w:t>
      </w:r>
    </w:p>
    <w:p>
      <w:pPr>
        <w:pStyle w:val="Normal"/>
        <w:numPr>
          <w:ilvl w:val="0"/>
          <w:numId w:val="0"/>
        </w:numPr>
        <w:bidi w:val="0"/>
        <w:ind w:hanging="0" w:start="0" w:end="0"/>
        <w:jc w:val="both"/>
        <w:rPr>
          <w:rFonts w:ascii="Times New Roman" w:hAnsi="Times New Roman"/>
          <w:sz w:val="24"/>
          <w:szCs w:val="24"/>
        </w:rPr>
      </w:pPr>
      <w:r>
        <w:rPr>
          <w:rFonts w:ascii="Times New Roman" w:hAnsi="Times New Roman"/>
          <w:sz w:val="24"/>
          <w:szCs w:val="24"/>
        </w:rPr>
        <w:t>Valoarea menționată reprezintă valoarea maximă eligibilă disponibilă pentru achiziția autovehiculului electric, finanțat prin Programul privind reducerea emisiilor de gaze cu efect de seră în transporturi prin promovarea vehiculelor de transport rutier nepoluante și eficiente din punct de vedere energetic 2025-2030.</w:t>
      </w:r>
    </w:p>
    <w:p>
      <w:pPr>
        <w:pStyle w:val="Normal"/>
        <w:bidi w:val="0"/>
        <w:jc w:val="both"/>
        <w:rPr>
          <w:rFonts w:ascii="Times New Roman" w:hAnsi="Times New Roman"/>
          <w:sz w:val="24"/>
          <w:szCs w:val="24"/>
        </w:rPr>
      </w:pPr>
      <w:r>
        <w:rPr>
          <w:rFonts w:ascii="Times New Roman" w:hAnsi="Times New Roman"/>
          <w:sz w:val="24"/>
          <w:szCs w:val="24"/>
        </w:rPr>
        <w:tab/>
        <w:t>Oferta financiară va fi exprimata în lei, fără TVA, cu două zecimale și va include toate costurile aferente furnizării produselor.</w:t>
      </w:r>
    </w:p>
    <w:p>
      <w:pPr>
        <w:pStyle w:val="Normal"/>
        <w:bidi w:val="0"/>
        <w:jc w:val="both"/>
        <w:rPr>
          <w:rFonts w:ascii="Times New Roman" w:hAnsi="Times New Roman"/>
          <w:sz w:val="24"/>
          <w:szCs w:val="24"/>
        </w:rPr>
      </w:pPr>
      <w:r>
        <w:rPr>
          <w:rFonts w:ascii="Times New Roman" w:hAnsi="Times New Roman"/>
          <w:sz w:val="24"/>
          <w:szCs w:val="24"/>
        </w:rPr>
        <w:tab/>
        <w:t>Autoritatea contractantă nu va suporta și nu va achita diferențe de preț fată de valoarea maximă finanțată prin ecotichet. În consecință, ofertanții vor avea obligația de a formula oferta astfel încât valoarea totală ofertată pentru autovehicul să nu depașească suma de 120.000 lei inclusiv TVA.</w:t>
      </w:r>
    </w:p>
    <w:p>
      <w:pPr>
        <w:pStyle w:val="Normal"/>
        <w:bidi w:val="0"/>
        <w:jc w:val="both"/>
        <w:rPr>
          <w:rFonts w:ascii="Times New Roman" w:hAnsi="Times New Roman"/>
          <w:sz w:val="24"/>
          <w:szCs w:val="24"/>
        </w:rPr>
      </w:pPr>
      <w:r>
        <w:rPr>
          <w:rFonts w:ascii="Times New Roman" w:hAnsi="Times New Roman"/>
          <w:sz w:val="24"/>
          <w:szCs w:val="24"/>
        </w:rPr>
        <w:tab/>
        <w:t>Ofertele care depășesc valoarea estimată a contractului vor fi declarate neconforme, în condițiile prevederilor legale aplicabile și ale documentației de atribuire.</w:t>
      </w:r>
    </w:p>
    <w:p>
      <w:pPr>
        <w:pStyle w:val="Normal"/>
        <w:bidi w:val="0"/>
        <w:jc w:val="both"/>
        <w:rPr>
          <w:rFonts w:ascii="Times New Roman" w:hAnsi="Times New Roman"/>
          <w:sz w:val="24"/>
          <w:szCs w:val="24"/>
        </w:rPr>
      </w:pPr>
      <w:r>
        <w:rPr>
          <w:rFonts w:ascii="Times New Roman" w:hAnsi="Times New Roman"/>
          <w:sz w:val="24"/>
          <w:szCs w:val="24"/>
        </w:rPr>
        <w:t>Prețul ofertat va fi ferm și neschimbat pe perioada de valabilitate a ofertei și pe perioada derulării contractului.</w:t>
      </w:r>
    </w:p>
    <w:p>
      <w:pPr>
        <w:pStyle w:val="Normal"/>
        <w:bidi w:val="0"/>
        <w:jc w:val="both"/>
        <w:rPr>
          <w:rFonts w:ascii="Times New Roman" w:hAnsi="Times New Roman"/>
          <w:sz w:val="24"/>
          <w:szCs w:val="24"/>
        </w:rPr>
      </w:pPr>
      <w:r>
        <w:rPr>
          <w:rFonts w:ascii="Times New Roman" w:hAnsi="Times New Roman"/>
          <w:sz w:val="24"/>
          <w:szCs w:val="24"/>
        </w:rPr>
      </w:r>
    </w:p>
    <w:p>
      <w:pPr>
        <w:pStyle w:val="Normal"/>
        <w:numPr>
          <w:ilvl w:val="0"/>
          <w:numId w:val="2"/>
        </w:numPr>
        <w:bidi w:val="0"/>
        <w:jc w:val="both"/>
        <w:rPr>
          <w:rFonts w:ascii="Times New Roman" w:hAnsi="Times New Roman"/>
          <w:sz w:val="24"/>
          <w:szCs w:val="24"/>
        </w:rPr>
      </w:pPr>
      <w:r>
        <w:rPr>
          <w:rFonts w:ascii="Times New Roman" w:hAnsi="Times New Roman"/>
          <w:b/>
          <w:bCs/>
          <w:sz w:val="24"/>
          <w:szCs w:val="24"/>
        </w:rPr>
        <w:t>Condiții financiare</w:t>
      </w:r>
    </w:p>
    <w:p>
      <w:pPr>
        <w:pStyle w:val="Normal"/>
        <w:bidi w:val="0"/>
        <w:jc w:val="both"/>
        <w:rPr>
          <w:rFonts w:ascii="Times New Roman" w:hAnsi="Times New Roman"/>
          <w:sz w:val="24"/>
          <w:szCs w:val="24"/>
        </w:rPr>
      </w:pPr>
      <w:r>
        <w:rPr>
          <w:rFonts w:ascii="Times New Roman" w:hAnsi="Times New Roman"/>
          <w:sz w:val="24"/>
          <w:szCs w:val="24"/>
        </w:rPr>
        <w:tab/>
        <w:t>Achiziția este finanțată prin Programul privind reducerea emisiilor de gaze cu efect de seră în transporturi prin promovarea vehiculelor de transport rutier nepoluante și eficiente din punct de vedere energetic 2025- 2030, derulat de Administrația Fondului pentru Mediu.</w:t>
      </w:r>
    </w:p>
    <w:p>
      <w:pPr>
        <w:pStyle w:val="Normal"/>
        <w:bidi w:val="0"/>
        <w:jc w:val="both"/>
        <w:rPr>
          <w:rFonts w:ascii="Times New Roman" w:hAnsi="Times New Roman"/>
          <w:sz w:val="24"/>
          <w:szCs w:val="24"/>
        </w:rPr>
      </w:pPr>
      <w:r>
        <w:rPr>
          <w:rFonts w:ascii="Times New Roman" w:hAnsi="Times New Roman"/>
          <w:sz w:val="24"/>
          <w:szCs w:val="24"/>
        </w:rPr>
        <w:tab/>
        <w:t>Bunurile achiziționate sunt finanțate din fonduri acordate prin Programul AFM, neexistând posibilitatea plații unui avans.</w:t>
      </w:r>
    </w:p>
    <w:p>
      <w:pPr>
        <w:pStyle w:val="Normal"/>
        <w:bidi w:val="0"/>
        <w:jc w:val="both"/>
        <w:rPr>
          <w:rFonts w:ascii="Times New Roman" w:hAnsi="Times New Roman"/>
          <w:sz w:val="24"/>
          <w:szCs w:val="24"/>
        </w:rPr>
      </w:pPr>
      <w:r>
        <w:rPr>
          <w:rFonts w:ascii="Times New Roman" w:hAnsi="Times New Roman"/>
          <w:sz w:val="24"/>
          <w:szCs w:val="24"/>
        </w:rPr>
        <w:tab/>
        <w:t>Valoarea ecotichetului aferent autovehicul este de maximum 120.000,00 lei inclusiv TVA, iar autoritatea contractantă nu va asigura surse financiare suplimentare pentru acoperirea eventualelor diferente dintre valoarea ofertata și valoarea finanțată.</w:t>
      </w:r>
    </w:p>
    <w:p>
      <w:pPr>
        <w:pStyle w:val="Normal"/>
        <w:bidi w:val="0"/>
        <w:jc w:val="both"/>
        <w:rPr>
          <w:rFonts w:ascii="Times New Roman" w:hAnsi="Times New Roman"/>
          <w:sz w:val="24"/>
          <w:szCs w:val="24"/>
        </w:rPr>
      </w:pPr>
      <w:r>
        <w:rPr>
          <w:rFonts w:ascii="Times New Roman" w:hAnsi="Times New Roman"/>
          <w:sz w:val="24"/>
          <w:szCs w:val="24"/>
        </w:rPr>
        <w:tab/>
        <w:t>Decontarea se va realiza conform prevederilor Ghidului de finanțare aplicabil și instrucțiunilor aprobate prin dispoziție a președintelui Administrației Fondului pentru Mediu.</w:t>
      </w:r>
    </w:p>
    <w:p>
      <w:pPr>
        <w:pStyle w:val="Normal"/>
        <w:bidi w:val="0"/>
        <w:jc w:val="both"/>
        <w:rPr>
          <w:rFonts w:ascii="Times New Roman" w:hAnsi="Times New Roman"/>
          <w:sz w:val="24"/>
          <w:szCs w:val="24"/>
        </w:rPr>
      </w:pPr>
      <w:r>
        <w:rPr>
          <w:rFonts w:ascii="Times New Roman" w:hAnsi="Times New Roman"/>
          <w:sz w:val="24"/>
          <w:szCs w:val="24"/>
        </w:rPr>
        <w:tab/>
        <w:t>Ofertantul trebuie sa demonstreze că autovehiculul ofertat estefurnizat prin intermediul unui producător validat în cadrul Programului AFM, conform Ghidului de finanțare aplicabil.</w:t>
      </w:r>
    </w:p>
    <w:p>
      <w:pPr>
        <w:pStyle w:val="Normal"/>
        <w:bidi w:val="0"/>
        <w:jc w:val="both"/>
        <w:rPr>
          <w:rFonts w:ascii="Times New Roman" w:hAnsi="Times New Roman"/>
          <w:sz w:val="24"/>
          <w:szCs w:val="24"/>
        </w:rPr>
      </w:pPr>
      <w:r>
        <w:rPr>
          <w:rFonts w:ascii="Times New Roman" w:hAnsi="Times New Roman"/>
          <w:sz w:val="24"/>
          <w:szCs w:val="24"/>
        </w:rPr>
        <w:tab/>
        <w:t>Oferta financiară va include toate costurile necesare furnizării, transportului, livrării, punerii în funcțiune a autovehiculului, precum și orice alte costuri necesare îndeplinirii integrale a obligațiilor contractuale.</w:t>
      </w:r>
    </w:p>
    <w:p>
      <w:pPr>
        <w:pStyle w:val="Normal"/>
        <w:bidi w:val="0"/>
        <w:jc w:val="both"/>
        <w:rPr>
          <w:rFonts w:ascii="Times New Roman" w:hAnsi="Times New Roman"/>
          <w:sz w:val="24"/>
          <w:szCs w:val="24"/>
        </w:rPr>
      </w:pPr>
      <w:r>
        <w:rPr>
          <w:rFonts w:ascii="Times New Roman" w:hAnsi="Times New Roman"/>
          <w:sz w:val="24"/>
          <w:szCs w:val="24"/>
        </w:rPr>
        <w:tab/>
        <w:t>Plata contravalorii produselui se va realiza conform mecanismului de finanțare aplicabil în cadrul Programului AFM, după livrarea autovehiculelor, efectuarea recepției cantitative și calitative și prezentarea documentelor necesare decontării.</w:t>
      </w:r>
    </w:p>
    <w:p>
      <w:pPr>
        <w:pStyle w:val="Normal"/>
        <w:bidi w:val="0"/>
        <w:jc w:val="both"/>
        <w:rPr>
          <w:rFonts w:ascii="Times New Roman" w:hAnsi="Times New Roman"/>
          <w:sz w:val="24"/>
          <w:szCs w:val="24"/>
        </w:rPr>
      </w:pPr>
      <w:r>
        <w:rPr>
          <w:rFonts w:ascii="Times New Roman" w:hAnsi="Times New Roman"/>
          <w:sz w:val="24"/>
          <w:szCs w:val="24"/>
        </w:rPr>
        <w:tab/>
        <w:t>În cazul în care oferta financiară depașește valoarea maximă eligibilă aprobată prin Programul AFM, aceasta va fi considerată neconformă.</w:t>
      </w:r>
    </w:p>
    <w:p>
      <w:pPr>
        <w:pStyle w:val="Normal"/>
        <w:bidi w:val="0"/>
        <w:jc w:val="both"/>
        <w:rPr>
          <w:rFonts w:ascii="Times New Roman" w:hAnsi="Times New Roman"/>
          <w:sz w:val="24"/>
          <w:szCs w:val="24"/>
        </w:rPr>
      </w:pPr>
      <w:r>
        <w:rPr>
          <w:rFonts w:ascii="Times New Roman" w:hAnsi="Times New Roman"/>
          <w:sz w:val="24"/>
          <w:szCs w:val="24"/>
        </w:rPr>
      </w:r>
    </w:p>
    <w:p>
      <w:pPr>
        <w:pStyle w:val="Normal"/>
        <w:numPr>
          <w:ilvl w:val="0"/>
          <w:numId w:val="2"/>
        </w:numPr>
        <w:bidi w:val="0"/>
        <w:jc w:val="both"/>
        <w:rPr>
          <w:rFonts w:ascii="Times New Roman" w:hAnsi="Times New Roman"/>
          <w:sz w:val="24"/>
          <w:szCs w:val="24"/>
        </w:rPr>
      </w:pPr>
      <w:r>
        <w:rPr>
          <w:rFonts w:ascii="Times New Roman" w:hAnsi="Times New Roman"/>
          <w:b/>
          <w:bCs/>
          <w:sz w:val="24"/>
          <w:szCs w:val="24"/>
        </w:rPr>
        <w:t>Durata contractului</w:t>
      </w:r>
    </w:p>
    <w:p>
      <w:pPr>
        <w:pStyle w:val="Normal"/>
        <w:bidi w:val="0"/>
        <w:jc w:val="both"/>
        <w:rPr>
          <w:rFonts w:ascii="Times New Roman" w:hAnsi="Times New Roman"/>
          <w:sz w:val="24"/>
          <w:szCs w:val="24"/>
        </w:rPr>
      </w:pPr>
      <w:r>
        <w:rPr>
          <w:rFonts w:ascii="Times New Roman" w:hAnsi="Times New Roman"/>
          <w:sz w:val="24"/>
          <w:szCs w:val="24"/>
        </w:rPr>
        <w:t>Contractul intra în vigoare la data semnării de către ambele părți și este valabil până la îndeplinirea integrală a obligațiilor asumate de acestea.</w:t>
      </w:r>
    </w:p>
    <w:p>
      <w:pPr>
        <w:pStyle w:val="Normal"/>
        <w:bidi w:val="0"/>
        <w:jc w:val="both"/>
        <w:rPr>
          <w:rFonts w:ascii="Times New Roman" w:hAnsi="Times New Roman"/>
          <w:sz w:val="24"/>
          <w:szCs w:val="24"/>
        </w:rPr>
      </w:pPr>
      <w:r>
        <w:rPr>
          <w:rFonts w:ascii="Times New Roman" w:hAnsi="Times New Roman"/>
          <w:sz w:val="24"/>
          <w:szCs w:val="24"/>
        </w:rPr>
      </w:r>
    </w:p>
    <w:p>
      <w:pPr>
        <w:pStyle w:val="Normal"/>
        <w:numPr>
          <w:ilvl w:val="0"/>
          <w:numId w:val="2"/>
        </w:numPr>
        <w:bidi w:val="0"/>
        <w:jc w:val="both"/>
        <w:rPr>
          <w:rFonts w:ascii="Times New Roman" w:hAnsi="Times New Roman"/>
          <w:sz w:val="24"/>
          <w:szCs w:val="24"/>
        </w:rPr>
      </w:pPr>
      <w:r>
        <w:rPr>
          <w:rFonts w:ascii="Times New Roman" w:hAnsi="Times New Roman"/>
          <w:b/>
          <w:bCs/>
          <w:sz w:val="24"/>
          <w:szCs w:val="24"/>
        </w:rPr>
        <w:t>Termen de livrare</w:t>
      </w:r>
    </w:p>
    <w:p>
      <w:pPr>
        <w:pStyle w:val="Normal"/>
        <w:bidi w:val="0"/>
        <w:jc w:val="both"/>
        <w:rPr>
          <w:rFonts w:ascii="Times New Roman" w:hAnsi="Times New Roman"/>
          <w:sz w:val="24"/>
          <w:szCs w:val="24"/>
        </w:rPr>
      </w:pPr>
      <w:r>
        <w:rPr>
          <w:rFonts w:ascii="Times New Roman" w:hAnsi="Times New Roman"/>
          <w:sz w:val="24"/>
          <w:szCs w:val="24"/>
        </w:rPr>
        <w:tab/>
        <w:t>Termenul maxim de livrare este de:</w:t>
      </w:r>
    </w:p>
    <w:p>
      <w:pPr>
        <w:pStyle w:val="Normal"/>
        <w:bidi w:val="0"/>
        <w:jc w:val="both"/>
        <w:rPr>
          <w:rFonts w:ascii="Times New Roman" w:hAnsi="Times New Roman"/>
          <w:sz w:val="24"/>
          <w:szCs w:val="24"/>
        </w:rPr>
      </w:pPr>
      <w:r>
        <w:rPr>
          <w:rFonts w:ascii="Times New Roman" w:hAnsi="Times New Roman"/>
          <w:sz w:val="24"/>
          <w:szCs w:val="24"/>
        </w:rPr>
        <w:t xml:space="preserve">120 zile calendaristice de la data semnării contractului de furnizare de către ambele părți. </w:t>
      </w:r>
    </w:p>
    <w:p>
      <w:pPr>
        <w:pStyle w:val="Normal"/>
        <w:bidi w:val="0"/>
        <w:jc w:val="both"/>
        <w:rPr>
          <w:rFonts w:ascii="Times New Roman" w:hAnsi="Times New Roman"/>
          <w:sz w:val="24"/>
          <w:szCs w:val="24"/>
        </w:rPr>
      </w:pPr>
      <w:r>
        <w:rPr>
          <w:rFonts w:ascii="Times New Roman" w:hAnsi="Times New Roman"/>
          <w:sz w:val="24"/>
          <w:szCs w:val="24"/>
        </w:rPr>
        <w:tab/>
        <w:t>Livrarea se va efectua la sediul beneficiarului:</w:t>
      </w:r>
    </w:p>
    <w:p>
      <w:pPr>
        <w:pStyle w:val="Normal"/>
        <w:bidi w:val="0"/>
        <w:jc w:val="both"/>
        <w:rPr>
          <w:rFonts w:ascii="Times New Roman" w:hAnsi="Times New Roman"/>
          <w:sz w:val="24"/>
          <w:szCs w:val="24"/>
        </w:rPr>
      </w:pPr>
      <w:r>
        <w:rPr>
          <w:rFonts w:ascii="Times New Roman" w:hAnsi="Times New Roman"/>
          <w:sz w:val="24"/>
          <w:szCs w:val="24"/>
        </w:rPr>
        <w:t>Opera Română Craiova, Str. Popoveni, nr.3C, municipiul Craiova, județul Dolj.</w:t>
      </w:r>
    </w:p>
    <w:p>
      <w:pPr>
        <w:pStyle w:val="Normal"/>
        <w:bidi w:val="0"/>
        <w:jc w:val="both"/>
        <w:rPr>
          <w:rFonts w:ascii="Times New Roman" w:hAnsi="Times New Roman"/>
          <w:sz w:val="24"/>
          <w:szCs w:val="24"/>
        </w:rPr>
      </w:pPr>
      <w:r>
        <w:rPr>
          <w:rFonts w:ascii="Times New Roman" w:hAnsi="Times New Roman"/>
          <w:sz w:val="24"/>
          <w:szCs w:val="24"/>
        </w:rPr>
        <w:tab/>
        <w:t>Data livrării va fi notificată de furnizor cu minimum 10 zile înainte.</w:t>
      </w:r>
    </w:p>
    <w:p>
      <w:pPr>
        <w:pStyle w:val="Normal"/>
        <w:bidi w:val="0"/>
        <w:jc w:val="both"/>
        <w:rPr>
          <w:rFonts w:ascii="Times New Roman" w:hAnsi="Times New Roman"/>
          <w:sz w:val="24"/>
          <w:szCs w:val="24"/>
        </w:rPr>
      </w:pPr>
      <w:r>
        <w:rPr>
          <w:rFonts w:ascii="Times New Roman" w:hAnsi="Times New Roman"/>
          <w:sz w:val="24"/>
          <w:szCs w:val="24"/>
        </w:rPr>
      </w:r>
    </w:p>
    <w:p>
      <w:pPr>
        <w:pStyle w:val="Normal"/>
        <w:numPr>
          <w:ilvl w:val="0"/>
          <w:numId w:val="2"/>
        </w:numPr>
        <w:bidi w:val="0"/>
        <w:jc w:val="both"/>
        <w:rPr>
          <w:rFonts w:ascii="Times New Roman" w:hAnsi="Times New Roman"/>
          <w:sz w:val="24"/>
          <w:szCs w:val="24"/>
        </w:rPr>
      </w:pPr>
      <w:r>
        <w:rPr>
          <w:rFonts w:ascii="Times New Roman" w:hAnsi="Times New Roman"/>
          <w:b/>
          <w:bCs/>
          <w:sz w:val="24"/>
          <w:szCs w:val="24"/>
        </w:rPr>
        <w:t>Modul de prezentare a propunerii tehnice</w:t>
      </w:r>
    </w:p>
    <w:p>
      <w:pPr>
        <w:pStyle w:val="Normal"/>
        <w:bidi w:val="0"/>
        <w:jc w:val="both"/>
        <w:rPr>
          <w:rFonts w:ascii="Times New Roman" w:hAnsi="Times New Roman"/>
          <w:sz w:val="24"/>
          <w:szCs w:val="24"/>
        </w:rPr>
      </w:pPr>
      <w:r>
        <w:rPr>
          <w:rFonts w:ascii="Times New Roman" w:hAnsi="Times New Roman"/>
          <w:sz w:val="24"/>
          <w:szCs w:val="24"/>
        </w:rPr>
        <w:t>Ofertantul va elabora propunerea tehnică în conformitate cu cerințele prevăzute în Caietul de sarcini șiutilizând Formularul - Propunere tehnică.</w:t>
      </w:r>
    </w:p>
    <w:p>
      <w:pPr>
        <w:pStyle w:val="Normal"/>
        <w:bidi w:val="0"/>
        <w:jc w:val="both"/>
        <w:rPr>
          <w:rFonts w:ascii="Times New Roman" w:hAnsi="Times New Roman"/>
          <w:sz w:val="24"/>
          <w:szCs w:val="24"/>
        </w:rPr>
      </w:pPr>
      <w:r>
        <w:rPr>
          <w:rFonts w:ascii="Times New Roman" w:hAnsi="Times New Roman"/>
          <w:sz w:val="24"/>
          <w:szCs w:val="24"/>
        </w:rPr>
        <w:t>Propunerea tehnică trebuie să permită identificarea clară a corespondenței dintre caracteristicile ofertate și cerințele minime solicitate.</w:t>
      </w:r>
    </w:p>
    <w:p>
      <w:pPr>
        <w:pStyle w:val="Normal"/>
        <w:bidi w:val="0"/>
        <w:jc w:val="both"/>
        <w:rPr>
          <w:rFonts w:ascii="Times New Roman" w:hAnsi="Times New Roman"/>
          <w:sz w:val="24"/>
          <w:szCs w:val="24"/>
        </w:rPr>
      </w:pPr>
      <w:r>
        <w:rPr>
          <w:rFonts w:ascii="Times New Roman" w:hAnsi="Times New Roman"/>
          <w:sz w:val="24"/>
          <w:szCs w:val="24"/>
        </w:rPr>
        <w:t>Propunerea tehnică va cuprinde obligatoriu:</w:t>
      </w:r>
    </w:p>
    <w:p>
      <w:pPr>
        <w:pStyle w:val="Normal"/>
        <w:numPr>
          <w:ilvl w:val="0"/>
          <w:numId w:val="3"/>
        </w:numPr>
        <w:bidi w:val="0"/>
        <w:jc w:val="both"/>
        <w:rPr>
          <w:rFonts w:ascii="Times New Roman" w:hAnsi="Times New Roman"/>
          <w:sz w:val="24"/>
          <w:szCs w:val="24"/>
        </w:rPr>
      </w:pPr>
      <w:r>
        <w:rPr>
          <w:rFonts w:ascii="Times New Roman" w:hAnsi="Times New Roman"/>
          <w:sz w:val="24"/>
          <w:szCs w:val="24"/>
        </w:rPr>
        <w:t>fișa tehnică a vehiculului emisă de producător;</w:t>
      </w:r>
    </w:p>
    <w:p>
      <w:pPr>
        <w:pStyle w:val="Normal"/>
        <w:numPr>
          <w:ilvl w:val="0"/>
          <w:numId w:val="3"/>
        </w:numPr>
        <w:bidi w:val="0"/>
        <w:jc w:val="both"/>
        <w:rPr>
          <w:rFonts w:ascii="Times New Roman" w:hAnsi="Times New Roman"/>
          <w:sz w:val="24"/>
          <w:szCs w:val="24"/>
        </w:rPr>
      </w:pPr>
      <w:r>
        <w:rPr>
          <w:rFonts w:ascii="Times New Roman" w:hAnsi="Times New Roman"/>
          <w:sz w:val="24"/>
          <w:szCs w:val="24"/>
        </w:rPr>
        <w:t>catalog/prospect oficial al producătorului;</w:t>
      </w:r>
    </w:p>
    <w:p>
      <w:pPr>
        <w:pStyle w:val="Normal"/>
        <w:numPr>
          <w:ilvl w:val="0"/>
          <w:numId w:val="3"/>
        </w:numPr>
        <w:bidi w:val="0"/>
        <w:jc w:val="both"/>
        <w:rPr>
          <w:rFonts w:ascii="Times New Roman" w:hAnsi="Times New Roman"/>
          <w:sz w:val="24"/>
          <w:szCs w:val="24"/>
        </w:rPr>
      </w:pPr>
      <w:r>
        <w:rPr>
          <w:rFonts w:ascii="Times New Roman" w:hAnsi="Times New Roman"/>
          <w:sz w:val="24"/>
          <w:szCs w:val="24"/>
        </w:rPr>
        <w:t>fișa de conformitate completată de ofertant;</w:t>
      </w:r>
    </w:p>
    <w:p>
      <w:pPr>
        <w:pStyle w:val="Normal"/>
        <w:numPr>
          <w:ilvl w:val="0"/>
          <w:numId w:val="3"/>
        </w:numPr>
        <w:bidi w:val="0"/>
        <w:jc w:val="both"/>
        <w:rPr>
          <w:rFonts w:ascii="Times New Roman" w:hAnsi="Times New Roman"/>
          <w:sz w:val="24"/>
          <w:szCs w:val="24"/>
        </w:rPr>
      </w:pPr>
      <w:r>
        <w:rPr>
          <w:rFonts w:ascii="Times New Roman" w:hAnsi="Times New Roman"/>
          <w:sz w:val="24"/>
          <w:szCs w:val="24"/>
        </w:rPr>
        <w:t>certificat de omologare UE sau certifical de conformitate (CoC), după caz;</w:t>
      </w:r>
    </w:p>
    <w:p>
      <w:pPr>
        <w:pStyle w:val="Normal"/>
        <w:numPr>
          <w:ilvl w:val="0"/>
          <w:numId w:val="3"/>
        </w:numPr>
        <w:bidi w:val="0"/>
        <w:jc w:val="both"/>
        <w:rPr>
          <w:rFonts w:ascii="Times New Roman" w:hAnsi="Times New Roman"/>
          <w:sz w:val="24"/>
          <w:szCs w:val="24"/>
        </w:rPr>
      </w:pPr>
      <w:r>
        <w:rPr>
          <w:rFonts w:ascii="Times New Roman" w:hAnsi="Times New Roman"/>
          <w:sz w:val="24"/>
          <w:szCs w:val="24"/>
        </w:rPr>
        <w:t>documente care atestă eligibilitatea autovehiculelor ofertate în cadrul Programului AFM, conform cerințelor aplicabile la data achiziției;</w:t>
      </w:r>
    </w:p>
    <w:p>
      <w:pPr>
        <w:pStyle w:val="Normal"/>
        <w:numPr>
          <w:ilvl w:val="0"/>
          <w:numId w:val="3"/>
        </w:numPr>
        <w:rPr>
          <w:rFonts w:ascii="Times New Roman" w:hAnsi="Times New Roman"/>
          <w:sz w:val="24"/>
          <w:szCs w:val="24"/>
        </w:rPr>
      </w:pPr>
      <w:r>
        <w:rPr>
          <w:rFonts w:ascii="Times New Roman" w:hAnsi="Times New Roman"/>
          <w:sz w:val="24"/>
          <w:szCs w:val="24"/>
        </w:rPr>
        <w:t>lista unităților service agreate de producător și autorizate de RAR, disponibile pentru modelul ofertat, precum și localizarea precum și localizarea acestora pe teritoriul României, care va cuprinde datele de contact și de identificare</w:t>
      </w:r>
    </w:p>
    <w:p>
      <w:pPr>
        <w:pStyle w:val="Normal"/>
        <w:numPr>
          <w:ilvl w:val="0"/>
          <w:numId w:val="3"/>
        </w:numPr>
        <w:bidi w:val="0"/>
        <w:jc w:val="both"/>
        <w:rPr>
          <w:rFonts w:ascii="Times New Roman" w:hAnsi="Times New Roman"/>
          <w:sz w:val="24"/>
          <w:szCs w:val="24"/>
        </w:rPr>
      </w:pPr>
      <w:r>
        <w:rPr>
          <w:rFonts w:ascii="Times New Roman" w:hAnsi="Times New Roman"/>
          <w:sz w:val="24"/>
          <w:szCs w:val="24"/>
        </w:rPr>
        <w:t xml:space="preserve">declarație privind conformitatea cu cerințele Caietului de sarcini. </w:t>
      </w:r>
    </w:p>
    <w:p>
      <w:pPr>
        <w:pStyle w:val="Normal"/>
        <w:numPr>
          <w:ilvl w:val="0"/>
          <w:numId w:val="0"/>
        </w:numPr>
        <w:bidi w:val="0"/>
        <w:ind w:hanging="0" w:start="224"/>
        <w:jc w:val="both"/>
        <w:rPr>
          <w:rFonts w:ascii="Times New Roman" w:hAnsi="Times New Roman"/>
          <w:sz w:val="24"/>
          <w:szCs w:val="24"/>
        </w:rPr>
      </w:pPr>
      <w:r>
        <w:rPr>
          <w:rFonts w:ascii="Times New Roman" w:hAnsi="Times New Roman"/>
          <w:sz w:val="24"/>
          <w:szCs w:val="24"/>
        </w:rPr>
        <w:t>Se vor depune și următoarele formulare:</w:t>
      </w:r>
    </w:p>
    <w:p>
      <w:pPr>
        <w:pStyle w:val="Normal"/>
        <w:numPr>
          <w:ilvl w:val="0"/>
          <w:numId w:val="3"/>
        </w:numPr>
        <w:bidi w:val="0"/>
        <w:jc w:val="both"/>
        <w:rPr>
          <w:rFonts w:ascii="Times New Roman" w:hAnsi="Times New Roman"/>
          <w:sz w:val="24"/>
          <w:szCs w:val="24"/>
        </w:rPr>
      </w:pPr>
      <w:r>
        <w:rPr>
          <w:rFonts w:ascii="Times New Roman" w:hAnsi="Times New Roman"/>
          <w:sz w:val="24"/>
          <w:szCs w:val="24"/>
        </w:rPr>
        <w:t>Declarație privind respectarea obligațiilor din domeniile mediului, social și al relațiilor de muncă;</w:t>
      </w:r>
    </w:p>
    <w:p>
      <w:pPr>
        <w:pStyle w:val="Normal"/>
        <w:numPr>
          <w:ilvl w:val="0"/>
          <w:numId w:val="3"/>
        </w:numPr>
        <w:bidi w:val="0"/>
        <w:jc w:val="both"/>
        <w:rPr>
          <w:rFonts w:ascii="Times New Roman" w:hAnsi="Times New Roman"/>
          <w:sz w:val="24"/>
          <w:szCs w:val="24"/>
        </w:rPr>
      </w:pPr>
      <w:r>
        <w:rPr>
          <w:rFonts w:ascii="Times New Roman" w:hAnsi="Times New Roman"/>
          <w:sz w:val="24"/>
          <w:szCs w:val="24"/>
        </w:rPr>
        <w:t>Declarație privind acceptarea modelului de contract;</w:t>
      </w:r>
    </w:p>
    <w:p>
      <w:pPr>
        <w:pStyle w:val="Normal"/>
        <w:numPr>
          <w:ilvl w:val="0"/>
          <w:numId w:val="3"/>
        </w:numPr>
        <w:bidi w:val="0"/>
        <w:jc w:val="both"/>
        <w:rPr>
          <w:rFonts w:ascii="Times New Roman" w:hAnsi="Times New Roman"/>
          <w:sz w:val="24"/>
          <w:szCs w:val="24"/>
        </w:rPr>
      </w:pPr>
      <w:r>
        <w:rPr>
          <w:rFonts w:ascii="Times New Roman" w:hAnsi="Times New Roman"/>
          <w:sz w:val="24"/>
          <w:szCs w:val="24"/>
        </w:rPr>
        <w:t>Formular privind identificarea provenienței produsului.</w:t>
      </w:r>
    </w:p>
    <w:p>
      <w:pPr>
        <w:pStyle w:val="Normal"/>
        <w:bidi w:val="0"/>
        <w:jc w:val="both"/>
        <w:rPr>
          <w:rFonts w:ascii="Times New Roman" w:hAnsi="Times New Roman"/>
          <w:sz w:val="24"/>
          <w:szCs w:val="24"/>
        </w:rPr>
      </w:pPr>
      <w:r>
        <w:rPr>
          <w:rFonts w:ascii="Times New Roman" w:hAnsi="Times New Roman"/>
          <w:sz w:val="24"/>
          <w:szCs w:val="24"/>
        </w:rPr>
        <w:t>Oferta care nu respectă cerințele minime prevăzute în Caietul de sarcini va fi considerată neconformă.</w:t>
      </w:r>
    </w:p>
    <w:p>
      <w:pPr>
        <w:pStyle w:val="Normal"/>
        <w:bidi w:val="0"/>
        <w:jc w:val="both"/>
        <w:rPr>
          <w:rFonts w:ascii="Times New Roman" w:hAnsi="Times New Roman"/>
          <w:sz w:val="24"/>
          <w:szCs w:val="24"/>
        </w:rPr>
      </w:pPr>
      <w:r>
        <w:rPr>
          <w:rFonts w:ascii="Times New Roman" w:hAnsi="Times New Roman"/>
          <w:sz w:val="24"/>
          <w:szCs w:val="24"/>
        </w:rPr>
      </w:r>
    </w:p>
    <w:p>
      <w:pPr>
        <w:pStyle w:val="Normal"/>
        <w:numPr>
          <w:ilvl w:val="0"/>
          <w:numId w:val="2"/>
        </w:numPr>
        <w:bidi w:val="0"/>
        <w:jc w:val="both"/>
        <w:rPr>
          <w:rFonts w:ascii="Times New Roman" w:hAnsi="Times New Roman"/>
          <w:sz w:val="24"/>
          <w:szCs w:val="24"/>
        </w:rPr>
      </w:pPr>
      <w:r>
        <w:rPr>
          <w:rFonts w:ascii="Times New Roman" w:hAnsi="Times New Roman"/>
          <w:b/>
          <w:bCs/>
          <w:sz w:val="24"/>
          <w:szCs w:val="24"/>
        </w:rPr>
        <w:t>Modul de prezentare a propunerii financiare</w:t>
      </w:r>
    </w:p>
    <w:p>
      <w:pPr>
        <w:pStyle w:val="Normal"/>
        <w:bidi w:val="0"/>
        <w:jc w:val="both"/>
        <w:rPr>
          <w:rFonts w:ascii="Times New Roman" w:hAnsi="Times New Roman"/>
          <w:sz w:val="24"/>
          <w:szCs w:val="24"/>
        </w:rPr>
      </w:pPr>
      <w:r>
        <w:rPr>
          <w:rFonts w:ascii="Times New Roman" w:hAnsi="Times New Roman"/>
          <w:sz w:val="24"/>
          <w:szCs w:val="24"/>
        </w:rPr>
        <w:t>Propunerea financiarii va fi elaborata astfel încât să cuprindă toate informațiile solicitate privind prețul și condițiile comerciale aferente contractului.</w:t>
      </w:r>
    </w:p>
    <w:p>
      <w:pPr>
        <w:pStyle w:val="Normal"/>
        <w:bidi w:val="0"/>
        <w:jc w:val="both"/>
        <w:rPr>
          <w:rFonts w:ascii="Times New Roman" w:hAnsi="Times New Roman"/>
          <w:sz w:val="24"/>
          <w:szCs w:val="24"/>
        </w:rPr>
      </w:pPr>
      <w:r>
        <w:rPr>
          <w:rFonts w:ascii="Times New Roman" w:hAnsi="Times New Roman"/>
          <w:sz w:val="24"/>
          <w:szCs w:val="24"/>
        </w:rPr>
        <w:t>Prețul unitar va fi exprimat în lei fără TVA, cu două zecimale.</w:t>
      </w:r>
    </w:p>
    <w:p>
      <w:pPr>
        <w:pStyle w:val="Normal"/>
        <w:bidi w:val="0"/>
        <w:jc w:val="both"/>
        <w:rPr>
          <w:rFonts w:ascii="Times New Roman" w:hAnsi="Times New Roman"/>
          <w:sz w:val="24"/>
          <w:szCs w:val="24"/>
        </w:rPr>
      </w:pPr>
      <w:r>
        <w:rPr>
          <w:rFonts w:ascii="Times New Roman" w:hAnsi="Times New Roman"/>
          <w:sz w:val="24"/>
          <w:szCs w:val="24"/>
        </w:rPr>
        <w:t>Propunerea financiară va conține:</w:t>
      </w:r>
    </w:p>
    <w:p>
      <w:pPr>
        <w:pStyle w:val="Normal"/>
        <w:numPr>
          <w:ilvl w:val="0"/>
          <w:numId w:val="1"/>
        </w:numPr>
        <w:bidi w:val="0"/>
        <w:jc w:val="both"/>
        <w:rPr>
          <w:rFonts w:ascii="Times New Roman" w:hAnsi="Times New Roman"/>
          <w:sz w:val="24"/>
          <w:szCs w:val="24"/>
        </w:rPr>
      </w:pPr>
      <w:r>
        <w:rPr>
          <w:rFonts w:ascii="Times New Roman" w:hAnsi="Times New Roman"/>
          <w:sz w:val="24"/>
          <w:szCs w:val="24"/>
        </w:rPr>
        <w:t>Formular de ofertă</w:t>
      </w:r>
    </w:p>
    <w:p>
      <w:pPr>
        <w:pStyle w:val="Normal"/>
        <w:numPr>
          <w:ilvl w:val="0"/>
          <w:numId w:val="0"/>
        </w:numPr>
        <w:bidi w:val="0"/>
        <w:ind w:hanging="0" w:start="245"/>
        <w:jc w:val="both"/>
        <w:rPr>
          <w:rFonts w:ascii="Times New Roman" w:hAnsi="Times New Roman"/>
          <w:sz w:val="24"/>
          <w:szCs w:val="24"/>
        </w:rPr>
      </w:pPr>
      <w:r>
        <w:rPr>
          <w:rFonts w:ascii="Times New Roman" w:hAnsi="Times New Roman"/>
          <w:sz w:val="24"/>
          <w:szCs w:val="24"/>
        </w:rPr>
      </w:r>
    </w:p>
    <w:p>
      <w:pPr>
        <w:pStyle w:val="Normal"/>
        <w:numPr>
          <w:ilvl w:val="0"/>
          <w:numId w:val="1"/>
        </w:numPr>
        <w:bidi w:val="0"/>
        <w:jc w:val="both"/>
        <w:rPr>
          <w:rFonts w:ascii="Times New Roman" w:hAnsi="Times New Roman"/>
          <w:sz w:val="24"/>
          <w:szCs w:val="24"/>
        </w:rPr>
      </w:pPr>
      <w:r>
        <w:rPr>
          <w:rFonts w:ascii="Times New Roman" w:hAnsi="Times New Roman"/>
          <w:sz w:val="24"/>
          <w:szCs w:val="24"/>
        </w:rPr>
        <w:t>Formular - Declarație privind partea/parțile din propunerea tehnică și financiară care au caracter confidențial</w:t>
      </w:r>
    </w:p>
    <w:p>
      <w:pPr>
        <w:pStyle w:val="Normal"/>
        <w:bidi w:val="0"/>
        <w:jc w:val="start"/>
        <w:rPr>
          <w:rFonts w:ascii="Times New Roman" w:hAnsi="Times New Roman"/>
          <w:sz w:val="24"/>
          <w:szCs w:val="24"/>
        </w:rPr>
      </w:pPr>
      <w:r>
        <w:rPr>
          <w:rFonts w:ascii="Times New Roman" w:hAnsi="Times New Roman"/>
          <w:sz w:val="24"/>
          <w:szCs w:val="24"/>
        </w:rPr>
        <w:t>Oferta financiară va avea o perioada de valabilitate de 120 zile de la termenul limită de depunere a ofertelor.</w:t>
      </w:r>
    </w:p>
    <w:p>
      <w:pPr>
        <w:pStyle w:val="Normal"/>
        <w:bidi w:val="0"/>
        <w:jc w:val="start"/>
        <w:rPr>
          <w:rFonts w:ascii="Times New Roman" w:hAnsi="Times New Roman"/>
          <w:sz w:val="24"/>
          <w:szCs w:val="24"/>
        </w:rPr>
      </w:pPr>
      <w:r>
        <w:rPr>
          <w:rFonts w:ascii="Times New Roman" w:hAnsi="Times New Roman"/>
          <w:sz w:val="24"/>
          <w:szCs w:val="24"/>
        </w:rPr>
        <w:t>Ofertantul va evidenția distinct valoarea TVA aferenta și valoarea totală cu TVA inclusă, în vederea verificării încadrării în valoarea maximă finanțată prin Programul AFM.</w:t>
      </w:r>
    </w:p>
    <w:p>
      <w:pPr>
        <w:pStyle w:val="Normal"/>
        <w:bidi w:val="0"/>
        <w:jc w:val="start"/>
        <w:rPr>
          <w:rFonts w:ascii="Times New Roman" w:hAnsi="Times New Roman"/>
          <w:sz w:val="24"/>
          <w:szCs w:val="24"/>
        </w:rPr>
      </w:pPr>
      <w:r>
        <w:rPr>
          <w:rFonts w:ascii="Times New Roman" w:hAnsi="Times New Roman"/>
          <w:sz w:val="24"/>
          <w:szCs w:val="24"/>
        </w:rPr>
      </w:r>
    </w:p>
    <w:p>
      <w:pPr>
        <w:pStyle w:val="Normal"/>
        <w:numPr>
          <w:ilvl w:val="0"/>
          <w:numId w:val="0"/>
        </w:numPr>
        <w:bidi w:val="0"/>
        <w:ind w:hanging="0" w:start="454"/>
        <w:jc w:val="start"/>
        <w:rPr>
          <w:rFonts w:ascii="Times New Roman" w:hAnsi="Times New Roman"/>
          <w:sz w:val="24"/>
          <w:szCs w:val="24"/>
        </w:rPr>
      </w:pPr>
      <w:r>
        <w:rPr>
          <w:rFonts w:ascii="Times New Roman" w:hAnsi="Times New Roman"/>
          <w:b/>
          <w:bCs/>
          <w:sz w:val="24"/>
          <w:szCs w:val="24"/>
        </w:rPr>
        <w:t>10. Limba de redactare a ofertei</w:t>
      </w:r>
    </w:p>
    <w:p>
      <w:pPr>
        <w:pStyle w:val="Normal"/>
        <w:bidi w:val="0"/>
        <w:jc w:val="start"/>
        <w:rPr>
          <w:rFonts w:ascii="Times New Roman" w:hAnsi="Times New Roman"/>
          <w:sz w:val="24"/>
          <w:szCs w:val="24"/>
        </w:rPr>
      </w:pPr>
      <w:r>
        <w:rPr>
          <w:rFonts w:ascii="Times New Roman" w:hAnsi="Times New Roman"/>
          <w:sz w:val="24"/>
          <w:szCs w:val="24"/>
        </w:rPr>
        <w:tab/>
        <w:t>Oferta, precum și toate documentele care o însoțesc, vor fi redactate în limba română.</w:t>
      </w:r>
    </w:p>
    <w:p>
      <w:pPr>
        <w:pStyle w:val="Normal"/>
        <w:bidi w:val="0"/>
        <w:jc w:val="start"/>
        <w:rPr>
          <w:rFonts w:ascii="Times New Roman" w:hAnsi="Times New Roman"/>
          <w:sz w:val="24"/>
          <w:szCs w:val="24"/>
        </w:rPr>
      </w:pPr>
      <w:r>
        <w:rPr>
          <w:rFonts w:ascii="Times New Roman" w:hAnsi="Times New Roman"/>
          <w:sz w:val="24"/>
          <w:szCs w:val="24"/>
        </w:rPr>
        <w:t>Documentele emise într-o altî limbî decât limba română vor fi însoțite obligatoriu de traducere autorizată în limba română.</w:t>
      </w:r>
    </w:p>
    <w:p>
      <w:pPr>
        <w:pStyle w:val="Normal"/>
        <w:bidi w:val="0"/>
        <w:jc w:val="start"/>
        <w:rPr>
          <w:rFonts w:ascii="Times New Roman" w:hAnsi="Times New Roman"/>
          <w:sz w:val="24"/>
          <w:szCs w:val="24"/>
        </w:rPr>
      </w:pPr>
      <w:r>
        <w:rPr>
          <w:rFonts w:ascii="Times New Roman" w:hAnsi="Times New Roman"/>
          <w:sz w:val="24"/>
          <w:szCs w:val="24"/>
        </w:rPr>
      </w:r>
    </w:p>
    <w:p>
      <w:pPr>
        <w:pStyle w:val="Normal"/>
        <w:numPr>
          <w:ilvl w:val="0"/>
          <w:numId w:val="0"/>
        </w:numPr>
        <w:bidi w:val="0"/>
        <w:ind w:hanging="0" w:start="454"/>
        <w:jc w:val="start"/>
        <w:rPr>
          <w:rFonts w:ascii="Times New Roman" w:hAnsi="Times New Roman"/>
          <w:sz w:val="24"/>
          <w:szCs w:val="24"/>
        </w:rPr>
      </w:pPr>
      <w:r>
        <w:rPr>
          <w:rFonts w:ascii="Times New Roman" w:hAnsi="Times New Roman"/>
          <w:b/>
          <w:bCs/>
          <w:sz w:val="24"/>
          <w:szCs w:val="24"/>
        </w:rPr>
        <w:t>11. Perioada de valabilitate a ofertelor</w:t>
      </w:r>
    </w:p>
    <w:p>
      <w:pPr>
        <w:pStyle w:val="Normal"/>
        <w:bidi w:val="0"/>
        <w:jc w:val="start"/>
        <w:rPr>
          <w:rFonts w:ascii="Times New Roman" w:hAnsi="Times New Roman"/>
          <w:sz w:val="24"/>
          <w:szCs w:val="24"/>
        </w:rPr>
      </w:pPr>
      <w:r>
        <w:rPr>
          <w:rFonts w:ascii="Times New Roman" w:hAnsi="Times New Roman"/>
          <w:sz w:val="24"/>
          <w:szCs w:val="24"/>
        </w:rPr>
        <w:t>Oferta va ramâne valabilă pentru o perioada de 120 zile de la termenul limită de primire a ofertelor.</w:t>
      </w:r>
    </w:p>
    <w:p>
      <w:pPr>
        <w:pStyle w:val="Normal"/>
        <w:bidi w:val="0"/>
        <w:jc w:val="start"/>
        <w:rPr>
          <w:rFonts w:ascii="Times New Roman" w:hAnsi="Times New Roman"/>
          <w:sz w:val="24"/>
          <w:szCs w:val="24"/>
        </w:rPr>
      </w:pPr>
      <w:r>
        <w:rPr>
          <w:rFonts w:ascii="Times New Roman" w:hAnsi="Times New Roman"/>
          <w:sz w:val="24"/>
          <w:szCs w:val="24"/>
        </w:rPr>
        <w:t>În perioada de valabilitate a ofertei, ofertantul are obligația de a menține condițiile tehnice și financiare asumate prin oferta depusă.</w:t>
      </w:r>
    </w:p>
    <w:p>
      <w:pPr>
        <w:pStyle w:val="Normal"/>
        <w:bidi w:val="0"/>
        <w:jc w:val="start"/>
        <w:rPr>
          <w:rFonts w:ascii="Times New Roman" w:hAnsi="Times New Roman"/>
          <w:sz w:val="24"/>
          <w:szCs w:val="24"/>
        </w:rPr>
      </w:pPr>
      <w:r>
        <w:rPr>
          <w:rFonts w:ascii="Times New Roman" w:hAnsi="Times New Roman"/>
          <w:sz w:val="24"/>
          <w:szCs w:val="24"/>
        </w:rPr>
      </w:r>
    </w:p>
    <w:p>
      <w:pPr>
        <w:pStyle w:val="Normal"/>
        <w:numPr>
          <w:ilvl w:val="0"/>
          <w:numId w:val="0"/>
        </w:numPr>
        <w:bidi w:val="0"/>
        <w:ind w:hanging="0" w:start="454"/>
        <w:jc w:val="start"/>
        <w:rPr>
          <w:rFonts w:ascii="Times New Roman" w:hAnsi="Times New Roman"/>
          <w:sz w:val="24"/>
          <w:szCs w:val="24"/>
        </w:rPr>
      </w:pPr>
      <w:r>
        <w:rPr>
          <w:rFonts w:ascii="Times New Roman" w:hAnsi="Times New Roman"/>
          <w:b/>
          <w:bCs/>
          <w:sz w:val="24"/>
          <w:szCs w:val="24"/>
        </w:rPr>
        <w:t>12. Data limita pentru transmiterea ofertelor:</w:t>
      </w:r>
    </w:p>
    <w:p>
      <w:pPr>
        <w:pStyle w:val="Normal"/>
        <w:bidi w:val="0"/>
        <w:jc w:val="start"/>
        <w:rPr>
          <w:rFonts w:ascii="Times New Roman" w:hAnsi="Times New Roman"/>
          <w:sz w:val="24"/>
          <w:szCs w:val="24"/>
        </w:rPr>
      </w:pPr>
      <w:r>
        <w:rPr>
          <w:rFonts w:ascii="Times New Roman" w:hAnsi="Times New Roman"/>
          <w:sz w:val="24"/>
          <w:szCs w:val="24"/>
        </w:rPr>
        <w:tab/>
        <w:t>03.09.2026, ora 12:00</w:t>
      </w:r>
    </w:p>
    <w:p>
      <w:pPr>
        <w:pStyle w:val="Normal"/>
        <w:bidi w:val="0"/>
        <w:jc w:val="start"/>
        <w:rPr/>
      </w:pPr>
      <w:r>
        <w:rPr>
          <w:rFonts w:ascii="Times New Roman" w:hAnsi="Times New Roman"/>
          <w:sz w:val="24"/>
          <w:szCs w:val="24"/>
        </w:rPr>
        <w:t>Ofertele se vor transmite electronic la următoarea adresa de e-mail: secretariat@</w:t>
      </w:r>
      <w:hyperlink r:id="rId5">
        <w:r>
          <w:rPr>
            <w:rStyle w:val="Style7"/>
            <w:rFonts w:ascii="Times New Roman" w:hAnsi="Times New Roman"/>
            <w:sz w:val="24"/>
            <w:szCs w:val="24"/>
          </w:rPr>
          <w:t>operacraiova.</w:t>
        </w:r>
      </w:hyperlink>
      <w:r>
        <w:rPr>
          <w:rFonts w:ascii="Times New Roman" w:hAnsi="Times New Roman"/>
          <w:sz w:val="24"/>
          <w:szCs w:val="24"/>
        </w:rPr>
        <w:t>ro sau fizic la registratura instituției din strada Popoveni, nr. 3C, Craiova, Dolj.</w:t>
      </w:r>
    </w:p>
    <w:p>
      <w:pPr>
        <w:pStyle w:val="Normal"/>
        <w:bidi w:val="0"/>
        <w:jc w:val="start"/>
        <w:rPr>
          <w:rFonts w:ascii="Times New Roman" w:hAnsi="Times New Roman"/>
          <w:sz w:val="24"/>
          <w:szCs w:val="24"/>
        </w:rPr>
      </w:pPr>
      <w:r>
        <w:rPr>
          <w:rFonts w:ascii="Times New Roman" w:hAnsi="Times New Roman"/>
          <w:sz w:val="24"/>
          <w:szCs w:val="24"/>
        </w:rPr>
        <w:t>Ofertele transmise după data și ora limită stabilite nu vor fi luate în considerare.</w:t>
      </w:r>
    </w:p>
    <w:p>
      <w:pPr>
        <w:pStyle w:val="Normal"/>
        <w:bidi w:val="0"/>
        <w:jc w:val="start"/>
        <w:rPr>
          <w:rFonts w:ascii="Times New Roman" w:hAnsi="Times New Roman"/>
          <w:sz w:val="24"/>
          <w:szCs w:val="24"/>
        </w:rPr>
      </w:pPr>
      <w:r>
        <w:rPr>
          <w:rFonts w:ascii="Times New Roman" w:hAnsi="Times New Roman"/>
          <w:sz w:val="24"/>
          <w:szCs w:val="24"/>
        </w:rPr>
        <w:t>Responsabilitatea transmiterii ofertei în termenul stabilit revine în totalitate operatorului economic.</w:t>
      </w:r>
    </w:p>
    <w:p>
      <w:pPr>
        <w:pStyle w:val="Normal"/>
        <w:bidi w:val="0"/>
        <w:jc w:val="start"/>
        <w:rPr>
          <w:rFonts w:ascii="Times New Roman" w:hAnsi="Times New Roman"/>
          <w:color w:val="424246"/>
          <w:w w:val="105"/>
          <w:sz w:val="24"/>
          <w:szCs w:val="24"/>
        </w:rPr>
      </w:pPr>
      <w:r>
        <w:rPr>
          <w:rFonts w:ascii="Times New Roman" w:hAnsi="Times New Roman"/>
          <w:color w:val="424246"/>
          <w:w w:val="105"/>
          <w:sz w:val="24"/>
          <w:szCs w:val="24"/>
        </w:rPr>
      </w:r>
    </w:p>
    <w:p>
      <w:pPr>
        <w:pStyle w:val="BodyText"/>
        <w:bidi w:val="0"/>
        <w:spacing w:before="59" w:after="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t>Vă mulțumim pentru interesul acordat și pentru colaborare!</w:t>
      </w:r>
    </w:p>
    <w:p>
      <w:pPr>
        <w:pStyle w:val="Normal"/>
        <w:bidi w:val="0"/>
        <w:jc w:val="start"/>
        <w:rPr>
          <w:rFonts w:ascii="Times New Roman" w:hAnsi="Times New Roman"/>
          <w:sz w:val="24"/>
          <w:szCs w:val="24"/>
        </w:rPr>
      </w:pPr>
      <w:r>
        <w:rPr>
          <w:rFonts w:ascii="Times New Roman" w:hAnsi="Times New Roman"/>
          <w:sz w:val="24"/>
          <w:szCs w:val="24"/>
        </w:rPr>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005" w:right="746" w:gutter="0" w:header="0" w:top="567" w:footer="0" w:bottom="56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roman"/>
    <w:pitch w:val="variable"/>
  </w:font>
  <w:font w:name="Liberation Sans">
    <w:altName w:val="Arial"/>
    <w:charset w:val="00" w:characterSet="windows-1252"/>
    <w:family w:val="swiss"/>
    <w:pitch w:val="variable"/>
  </w:font>
  <w:font w:name="Times New Roman">
    <w:charset w:val="01"/>
    <w:family w:val="roman"/>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245" w:hanging="143"/>
      </w:pPr>
      <w:rPr>
        <w:rFonts w:ascii="Times New Roman" w:hAnsi="Times New Roman" w:cs="Times New Roman" w:hint="default"/>
        <w:spacing w:val="0"/>
        <w:w w:val="109"/>
        <w:lang w:val="ro-RO" w:eastAsia="en-US" w:bidi="ar-SA"/>
      </w:rPr>
    </w:lvl>
    <w:lvl w:ilvl="1">
      <w:start w:val="0"/>
      <w:numFmt w:val="bullet"/>
      <w:lvlText w:val=""/>
      <w:lvlJc w:val="start"/>
      <w:pPr>
        <w:tabs>
          <w:tab w:val="num" w:pos="0"/>
        </w:tabs>
        <w:ind w:start="1360" w:hanging="143"/>
      </w:pPr>
      <w:rPr>
        <w:rFonts w:ascii="Symbol" w:hAnsi="Symbol" w:cs="Symbol" w:hint="default"/>
        <w:lang w:val="ro-RO" w:eastAsia="en-US" w:bidi="ar-SA"/>
      </w:rPr>
    </w:lvl>
    <w:lvl w:ilvl="2">
      <w:start w:val="0"/>
      <w:numFmt w:val="bullet"/>
      <w:lvlText w:val=""/>
      <w:lvlJc w:val="start"/>
      <w:pPr>
        <w:tabs>
          <w:tab w:val="num" w:pos="0"/>
        </w:tabs>
        <w:ind w:start="2481" w:hanging="143"/>
      </w:pPr>
      <w:rPr>
        <w:rFonts w:ascii="Symbol" w:hAnsi="Symbol" w:cs="Symbol" w:hint="default"/>
        <w:lang w:val="ro-RO" w:eastAsia="en-US" w:bidi="ar-SA"/>
      </w:rPr>
    </w:lvl>
    <w:lvl w:ilvl="3">
      <w:start w:val="0"/>
      <w:numFmt w:val="bullet"/>
      <w:lvlText w:val=""/>
      <w:lvlJc w:val="start"/>
      <w:pPr>
        <w:tabs>
          <w:tab w:val="num" w:pos="0"/>
        </w:tabs>
        <w:ind w:start="3602" w:hanging="143"/>
      </w:pPr>
      <w:rPr>
        <w:rFonts w:ascii="Symbol" w:hAnsi="Symbol" w:cs="Symbol" w:hint="default"/>
        <w:lang w:val="ro-RO" w:eastAsia="en-US" w:bidi="ar-SA"/>
      </w:rPr>
    </w:lvl>
    <w:lvl w:ilvl="4">
      <w:start w:val="0"/>
      <w:numFmt w:val="bullet"/>
      <w:lvlText w:val=""/>
      <w:lvlJc w:val="start"/>
      <w:pPr>
        <w:tabs>
          <w:tab w:val="num" w:pos="0"/>
        </w:tabs>
        <w:ind w:start="4723" w:hanging="143"/>
      </w:pPr>
      <w:rPr>
        <w:rFonts w:ascii="Symbol" w:hAnsi="Symbol" w:cs="Symbol" w:hint="default"/>
        <w:lang w:val="ro-RO" w:eastAsia="en-US" w:bidi="ar-SA"/>
      </w:rPr>
    </w:lvl>
    <w:lvl w:ilvl="5">
      <w:start w:val="0"/>
      <w:numFmt w:val="bullet"/>
      <w:lvlText w:val=""/>
      <w:lvlJc w:val="start"/>
      <w:pPr>
        <w:tabs>
          <w:tab w:val="num" w:pos="0"/>
        </w:tabs>
        <w:ind w:start="5844" w:hanging="143"/>
      </w:pPr>
      <w:rPr>
        <w:rFonts w:ascii="Symbol" w:hAnsi="Symbol" w:cs="Symbol" w:hint="default"/>
        <w:lang w:val="ro-RO" w:eastAsia="en-US" w:bidi="ar-SA"/>
      </w:rPr>
    </w:lvl>
    <w:lvl w:ilvl="6">
      <w:start w:val="0"/>
      <w:numFmt w:val="bullet"/>
      <w:lvlText w:val=""/>
      <w:lvlJc w:val="start"/>
      <w:pPr>
        <w:tabs>
          <w:tab w:val="num" w:pos="0"/>
        </w:tabs>
        <w:ind w:start="6965" w:hanging="143"/>
      </w:pPr>
      <w:rPr>
        <w:rFonts w:ascii="Symbol" w:hAnsi="Symbol" w:cs="Symbol" w:hint="default"/>
        <w:lang w:val="ro-RO" w:eastAsia="en-US" w:bidi="ar-SA"/>
      </w:rPr>
    </w:lvl>
    <w:lvl w:ilvl="7">
      <w:start w:val="0"/>
      <w:numFmt w:val="bullet"/>
      <w:lvlText w:val=""/>
      <w:lvlJc w:val="start"/>
      <w:pPr>
        <w:tabs>
          <w:tab w:val="num" w:pos="0"/>
        </w:tabs>
        <w:ind w:start="8086" w:hanging="143"/>
      </w:pPr>
      <w:rPr>
        <w:rFonts w:ascii="Symbol" w:hAnsi="Symbol" w:cs="Symbol" w:hint="default"/>
        <w:lang w:val="ro-RO" w:eastAsia="en-US" w:bidi="ar-SA"/>
      </w:rPr>
    </w:lvl>
    <w:lvl w:ilvl="8">
      <w:start w:val="0"/>
      <w:numFmt w:val="bullet"/>
      <w:lvlText w:val=""/>
      <w:lvlJc w:val="start"/>
      <w:pPr>
        <w:tabs>
          <w:tab w:val="num" w:pos="0"/>
        </w:tabs>
        <w:ind w:start="9207" w:hanging="143"/>
      </w:pPr>
      <w:rPr>
        <w:rFonts w:ascii="Symbol" w:hAnsi="Symbol" w:cs="Symbol" w:hint="default"/>
        <w:lang w:val="ro-RO" w:eastAsia="en-US" w:bidi="ar-SA"/>
      </w:rPr>
    </w:lvl>
  </w:abstractNum>
  <w:abstractNum w:abstractNumId="2">
    <w:lvl w:ilvl="0">
      <w:start w:val="1"/>
      <w:numFmt w:val="decimal"/>
      <w:lvlText w:val="%1."/>
      <w:lvlJc w:val="start"/>
      <w:pPr>
        <w:tabs>
          <w:tab w:val="num" w:pos="0"/>
        </w:tabs>
        <w:ind w:start="454" w:hanging="227"/>
      </w:pPr>
      <w:rPr>
        <w:spacing w:val="0"/>
        <w:w w:val="109"/>
        <w:lang w:val="ro-RO" w:eastAsia="en-US" w:bidi="ar-SA"/>
      </w:rPr>
    </w:lvl>
    <w:lvl w:ilvl="1">
      <w:start w:val="0"/>
      <w:numFmt w:val="bullet"/>
      <w:lvlText w:val="-"/>
      <w:lvlJc w:val="start"/>
      <w:pPr>
        <w:tabs>
          <w:tab w:val="num" w:pos="0"/>
        </w:tabs>
        <w:ind w:start="382" w:hanging="146"/>
      </w:pPr>
      <w:rPr>
        <w:rFonts w:ascii="Times New Roman" w:hAnsi="Times New Roman" w:cs="Times New Roman" w:hint="default"/>
        <w:spacing w:val="0"/>
        <w:w w:val="104"/>
        <w:lang w:val="ro-RO" w:eastAsia="en-US" w:bidi="ar-SA"/>
      </w:rPr>
    </w:lvl>
    <w:lvl w:ilvl="2">
      <w:start w:val="0"/>
      <w:numFmt w:val="bullet"/>
      <w:lvlText w:val=""/>
      <w:lvlJc w:val="start"/>
      <w:pPr>
        <w:tabs>
          <w:tab w:val="num" w:pos="0"/>
        </w:tabs>
        <w:ind w:start="460" w:hanging="146"/>
      </w:pPr>
      <w:rPr>
        <w:rFonts w:ascii="Symbol" w:hAnsi="Symbol" w:cs="Symbol" w:hint="default"/>
        <w:lang w:val="ro-RO" w:eastAsia="en-US" w:bidi="ar-SA"/>
      </w:rPr>
    </w:lvl>
    <w:lvl w:ilvl="3">
      <w:start w:val="0"/>
      <w:numFmt w:val="bullet"/>
      <w:lvlText w:val=""/>
      <w:lvlJc w:val="start"/>
      <w:pPr>
        <w:tabs>
          <w:tab w:val="num" w:pos="0"/>
        </w:tabs>
        <w:ind w:start="1833" w:hanging="146"/>
      </w:pPr>
      <w:rPr>
        <w:rFonts w:ascii="Symbol" w:hAnsi="Symbol" w:cs="Symbol" w:hint="default"/>
        <w:lang w:val="ro-RO" w:eastAsia="en-US" w:bidi="ar-SA"/>
      </w:rPr>
    </w:lvl>
    <w:lvl w:ilvl="4">
      <w:start w:val="0"/>
      <w:numFmt w:val="bullet"/>
      <w:lvlText w:val=""/>
      <w:lvlJc w:val="start"/>
      <w:pPr>
        <w:tabs>
          <w:tab w:val="num" w:pos="0"/>
        </w:tabs>
        <w:ind w:start="3207" w:hanging="146"/>
      </w:pPr>
      <w:rPr>
        <w:rFonts w:ascii="Symbol" w:hAnsi="Symbol" w:cs="Symbol" w:hint="default"/>
        <w:lang w:val="ro-RO" w:eastAsia="en-US" w:bidi="ar-SA"/>
      </w:rPr>
    </w:lvl>
    <w:lvl w:ilvl="5">
      <w:start w:val="0"/>
      <w:numFmt w:val="bullet"/>
      <w:lvlText w:val=""/>
      <w:lvlJc w:val="start"/>
      <w:pPr>
        <w:tabs>
          <w:tab w:val="num" w:pos="0"/>
        </w:tabs>
        <w:ind w:start="4580" w:hanging="146"/>
      </w:pPr>
      <w:rPr>
        <w:rFonts w:ascii="Symbol" w:hAnsi="Symbol" w:cs="Symbol" w:hint="default"/>
        <w:lang w:val="ro-RO" w:eastAsia="en-US" w:bidi="ar-SA"/>
      </w:rPr>
    </w:lvl>
    <w:lvl w:ilvl="6">
      <w:start w:val="0"/>
      <w:numFmt w:val="bullet"/>
      <w:lvlText w:val=""/>
      <w:lvlJc w:val="start"/>
      <w:pPr>
        <w:tabs>
          <w:tab w:val="num" w:pos="0"/>
        </w:tabs>
        <w:ind w:start="5954" w:hanging="146"/>
      </w:pPr>
      <w:rPr>
        <w:rFonts w:ascii="Symbol" w:hAnsi="Symbol" w:cs="Symbol" w:hint="default"/>
        <w:lang w:val="ro-RO" w:eastAsia="en-US" w:bidi="ar-SA"/>
      </w:rPr>
    </w:lvl>
    <w:lvl w:ilvl="7">
      <w:start w:val="0"/>
      <w:numFmt w:val="bullet"/>
      <w:lvlText w:val=""/>
      <w:lvlJc w:val="start"/>
      <w:pPr>
        <w:tabs>
          <w:tab w:val="num" w:pos="0"/>
        </w:tabs>
        <w:ind w:start="7328" w:hanging="146"/>
      </w:pPr>
      <w:rPr>
        <w:rFonts w:ascii="Symbol" w:hAnsi="Symbol" w:cs="Symbol" w:hint="default"/>
        <w:lang w:val="ro-RO" w:eastAsia="en-US" w:bidi="ar-SA"/>
      </w:rPr>
    </w:lvl>
    <w:lvl w:ilvl="8">
      <w:start w:val="0"/>
      <w:numFmt w:val="bullet"/>
      <w:lvlText w:val=""/>
      <w:lvlJc w:val="start"/>
      <w:pPr>
        <w:tabs>
          <w:tab w:val="num" w:pos="0"/>
        </w:tabs>
        <w:ind w:start="8701" w:hanging="146"/>
      </w:pPr>
      <w:rPr>
        <w:rFonts w:ascii="Symbol" w:hAnsi="Symbol" w:cs="Symbol" w:hint="default"/>
        <w:lang w:val="ro-RO" w:eastAsia="en-US" w:bidi="ar-SA"/>
      </w:rPr>
    </w:lvl>
  </w:abstractNum>
  <w:abstractNum w:abstractNumId="3">
    <w:lvl w:ilvl="0">
      <w:numFmt w:val="bullet"/>
      <w:lvlText w:val="-"/>
      <w:lvlJc w:val="start"/>
      <w:pPr>
        <w:tabs>
          <w:tab w:val="num" w:pos="0"/>
        </w:tabs>
        <w:ind w:start="224" w:hanging="138"/>
      </w:pPr>
      <w:rPr>
        <w:rFonts w:ascii="Times New Roman" w:hAnsi="Times New Roman" w:cs="Times New Roman" w:hint="default"/>
        <w:b w:val="false"/>
        <w:bCs w:val="false"/>
        <w:i w:val="false"/>
        <w:iCs w:val="false"/>
        <w:spacing w:val="0"/>
        <w:w w:val="109"/>
        <w:sz w:val="23"/>
        <w:szCs w:val="23"/>
        <w:lang w:val="ro-RO" w:eastAsia="en-US" w:bidi="ar-SA"/>
      </w:rPr>
    </w:lvl>
    <w:lvl w:ilvl="1">
      <w:start w:val="0"/>
      <w:numFmt w:val="bullet"/>
      <w:lvlText w:val=""/>
      <w:lvlJc w:val="start"/>
      <w:pPr>
        <w:tabs>
          <w:tab w:val="num" w:pos="0"/>
        </w:tabs>
        <w:ind w:start="1342" w:hanging="138"/>
      </w:pPr>
      <w:rPr>
        <w:rFonts w:ascii="Symbol" w:hAnsi="Symbol" w:cs="Symbol" w:hint="default"/>
        <w:lang w:val="ro-RO" w:eastAsia="en-US" w:bidi="ar-SA"/>
      </w:rPr>
    </w:lvl>
    <w:lvl w:ilvl="2">
      <w:start w:val="0"/>
      <w:numFmt w:val="bullet"/>
      <w:lvlText w:val=""/>
      <w:lvlJc w:val="start"/>
      <w:pPr>
        <w:tabs>
          <w:tab w:val="num" w:pos="0"/>
        </w:tabs>
        <w:ind w:start="2465" w:hanging="138"/>
      </w:pPr>
      <w:rPr>
        <w:rFonts w:ascii="Symbol" w:hAnsi="Symbol" w:cs="Symbol" w:hint="default"/>
        <w:lang w:val="ro-RO" w:eastAsia="en-US" w:bidi="ar-SA"/>
      </w:rPr>
    </w:lvl>
    <w:lvl w:ilvl="3">
      <w:start w:val="0"/>
      <w:numFmt w:val="bullet"/>
      <w:lvlText w:val=""/>
      <w:lvlJc w:val="start"/>
      <w:pPr>
        <w:tabs>
          <w:tab w:val="num" w:pos="0"/>
        </w:tabs>
        <w:ind w:start="3588" w:hanging="138"/>
      </w:pPr>
      <w:rPr>
        <w:rFonts w:ascii="Symbol" w:hAnsi="Symbol" w:cs="Symbol" w:hint="default"/>
        <w:lang w:val="ro-RO" w:eastAsia="en-US" w:bidi="ar-SA"/>
      </w:rPr>
    </w:lvl>
    <w:lvl w:ilvl="4">
      <w:start w:val="0"/>
      <w:numFmt w:val="bullet"/>
      <w:lvlText w:val=""/>
      <w:lvlJc w:val="start"/>
      <w:pPr>
        <w:tabs>
          <w:tab w:val="num" w:pos="0"/>
        </w:tabs>
        <w:ind w:start="4711" w:hanging="138"/>
      </w:pPr>
      <w:rPr>
        <w:rFonts w:ascii="Symbol" w:hAnsi="Symbol" w:cs="Symbol" w:hint="default"/>
        <w:lang w:val="ro-RO" w:eastAsia="en-US" w:bidi="ar-SA"/>
      </w:rPr>
    </w:lvl>
    <w:lvl w:ilvl="5">
      <w:start w:val="0"/>
      <w:numFmt w:val="bullet"/>
      <w:lvlText w:val=""/>
      <w:lvlJc w:val="start"/>
      <w:pPr>
        <w:tabs>
          <w:tab w:val="num" w:pos="0"/>
        </w:tabs>
        <w:ind w:start="5834" w:hanging="138"/>
      </w:pPr>
      <w:rPr>
        <w:rFonts w:ascii="Symbol" w:hAnsi="Symbol" w:cs="Symbol" w:hint="default"/>
        <w:lang w:val="ro-RO" w:eastAsia="en-US" w:bidi="ar-SA"/>
      </w:rPr>
    </w:lvl>
    <w:lvl w:ilvl="6">
      <w:start w:val="0"/>
      <w:numFmt w:val="bullet"/>
      <w:lvlText w:val=""/>
      <w:lvlJc w:val="start"/>
      <w:pPr>
        <w:tabs>
          <w:tab w:val="num" w:pos="0"/>
        </w:tabs>
        <w:ind w:start="6957" w:hanging="138"/>
      </w:pPr>
      <w:rPr>
        <w:rFonts w:ascii="Symbol" w:hAnsi="Symbol" w:cs="Symbol" w:hint="default"/>
        <w:lang w:val="ro-RO" w:eastAsia="en-US" w:bidi="ar-SA"/>
      </w:rPr>
    </w:lvl>
    <w:lvl w:ilvl="7">
      <w:start w:val="0"/>
      <w:numFmt w:val="bullet"/>
      <w:lvlText w:val=""/>
      <w:lvlJc w:val="start"/>
      <w:pPr>
        <w:tabs>
          <w:tab w:val="num" w:pos="0"/>
        </w:tabs>
        <w:ind w:start="8080" w:hanging="138"/>
      </w:pPr>
      <w:rPr>
        <w:rFonts w:ascii="Symbol" w:hAnsi="Symbol" w:cs="Symbol" w:hint="default"/>
        <w:lang w:val="ro-RO" w:eastAsia="en-US" w:bidi="ar-SA"/>
      </w:rPr>
    </w:lvl>
    <w:lvl w:ilvl="8">
      <w:start w:val="0"/>
      <w:numFmt w:val="bullet"/>
      <w:lvlText w:val=""/>
      <w:lvlJc w:val="start"/>
      <w:pPr>
        <w:tabs>
          <w:tab w:val="num" w:pos="0"/>
        </w:tabs>
        <w:ind w:start="9203" w:hanging="138"/>
      </w:pPr>
      <w:rPr>
        <w:rFonts w:ascii="Symbol" w:hAnsi="Symbol" w:cs="Symbol" w:hint="default"/>
        <w:lang w:val="ro-RO" w:eastAsia="en-US" w:bidi="ar-SA"/>
      </w:rPr>
    </w:lvl>
  </w:abstractNum>
  <w:abstractNum w:abstractNumId="4">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5">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ro-RO"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Lucida Sans"/>
      <w:color w:val="auto"/>
      <w:kern w:val="2"/>
      <w:sz w:val="24"/>
      <w:szCs w:val="24"/>
      <w:lang w:val="ro-RO" w:eastAsia="zh-CN" w:bidi="hi-IN"/>
    </w:rPr>
  </w:style>
  <w:style w:type="paragraph" w:styleId="Heading1">
    <w:name w:val="heading 1"/>
    <w:basedOn w:val="Normal"/>
    <w:qFormat/>
    <w:pPr>
      <w:ind w:start="387"/>
      <w:jc w:val="center"/>
      <w:outlineLvl w:val="1"/>
    </w:pPr>
    <w:rPr>
      <w:rFonts w:ascii="Times New Roman" w:hAnsi="Times New Roman" w:eastAsia="Times New Roman" w:cs="Times New Roman"/>
      <w:b/>
      <w:bCs/>
      <w:sz w:val="28"/>
      <w:szCs w:val="28"/>
      <w:lang w:val="ro-RO" w:eastAsia="en-US" w:bidi="ar-SA"/>
    </w:rPr>
  </w:style>
  <w:style w:type="paragraph" w:styleId="Heading2">
    <w:name w:val="heading 2"/>
    <w:basedOn w:val="Normal"/>
    <w:qFormat/>
    <w:pPr>
      <w:jc w:val="end"/>
      <w:outlineLvl w:val="2"/>
    </w:pPr>
    <w:rPr>
      <w:rFonts w:ascii="Times New Roman" w:hAnsi="Times New Roman" w:eastAsia="Times New Roman" w:cs="Times New Roman"/>
      <w:b/>
      <w:bCs/>
      <w:sz w:val="28"/>
      <w:szCs w:val="28"/>
      <w:lang w:val="ro-RO" w:eastAsia="en-US" w:bidi="ar-SA"/>
    </w:rPr>
  </w:style>
  <w:style w:type="character" w:styleId="Hyperlink">
    <w:name w:val="Hyperlink"/>
    <w:rPr>
      <w:color w:val="000080"/>
      <w:u w:val="single"/>
    </w:rPr>
  </w:style>
  <w:style w:type="character" w:styleId="Marcatori">
    <w:name w:val="Marcatori"/>
    <w:qFormat/>
    <w:rPr>
      <w:rFonts w:ascii="OpenSymbol" w:hAnsi="OpenSymbol" w:eastAsia="OpenSymbol" w:cs="OpenSymbol"/>
    </w:rPr>
  </w:style>
  <w:style w:type="paragraph" w:styleId="Titlu">
    <w:name w:val="Titlu"/>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uuser">
    <w:name w:val="Titlu (user)"/>
    <w:basedOn w:val="Normal"/>
    <w:next w:val="BodyText"/>
    <w:qFormat/>
    <w:pPr>
      <w:keepNext w:val="true"/>
      <w:spacing w:before="240" w:after="120"/>
    </w:pPr>
    <w:rPr>
      <w:rFonts w:ascii="Liberation Sans" w:hAnsi="Liberation Sans" w:eastAsia="Microsoft YaHei" w:cs="Lucida Sans"/>
      <w:sz w:val="28"/>
      <w:szCs w:val="28"/>
    </w:rPr>
  </w:style>
  <w:style w:type="paragraph" w:styleId="ListParagraph">
    <w:name w:val="List Paragraph"/>
    <w:basedOn w:val="Normal"/>
    <w:qFormat/>
    <w:pPr>
      <w:ind w:start="252"/>
    </w:pPr>
    <w:rPr>
      <w:rFonts w:ascii="Times New Roman" w:hAnsi="Times New Roman" w:eastAsia="Times New Roman" w:cs="Times New Roman"/>
      <w:lang w:val="ro-RO" w:eastAsia="en-US" w:bidi="ar-SA"/>
    </w:rPr>
  </w:style>
  <w:style w:type="paragraph" w:styleId="Antetisubsol">
    <w:name w:val="Antet și subsol"/>
    <w:basedOn w:val="Normal"/>
    <w:qFormat/>
    <w:pPr/>
    <w:rPr/>
  </w:style>
  <w:style w:type="paragraph" w:styleId="Antetisubsoluser">
    <w:name w:val="Antet și subsol (user)"/>
    <w:basedOn w:val="Normal"/>
    <w:qFormat/>
    <w:pPr/>
    <w:rPr/>
  </w:style>
  <w:style w:type="paragraph" w:styleId="Footer">
    <w:name w:val="footer"/>
    <w:basedOn w:val="Antetisubsol"/>
    <w:pPr/>
    <w:rPr/>
  </w:style>
  <w:style w:type="paragraph" w:styleId="Header">
    <w:name w:val="header"/>
    <w:basedOn w:val="Antetisubsol"/>
    <w:pPr>
      <w:suppressLineNumbers/>
      <w:tabs>
        <w:tab w:val="clear" w:pos="709"/>
        <w:tab w:val="center" w:pos="5076" w:leader="none"/>
        <w:tab w:val="right" w:pos="10152" w:leader="none"/>
      </w:tabs>
    </w:pPr>
    <w:rPr/>
  </w:style>
  <w:style w:type="paragraph" w:styleId="Coninutcadru">
    <w:name w:val="Conținut cadru"/>
    <w:basedOn w:val="Normal"/>
    <w:qFormat/>
    <w:pPr/>
    <w:rPr/>
  </w:style>
  <w:style w:type="paragraph" w:styleId="TableParagraph">
    <w:name w:val="Table Paragraph"/>
    <w:basedOn w:val="Normal"/>
    <w:qFormat/>
    <w:pPr>
      <w:ind w:start="107"/>
    </w:pPr>
    <w:rPr>
      <w:rFonts w:ascii="Times New Roman" w:hAnsi="Times New Roman" w:eastAsia="Times New Roman" w:cs="Times New Roman"/>
      <w:lang w:val="ro-RO" w:eastAsia="en-US" w:bidi="ar-SA"/>
    </w:rPr>
  </w:style>
  <w:style w:type="paragraph" w:styleId="Coninuttabel">
    <w:name w:val="Conținut tabel"/>
    <w:basedOn w:val="Normal"/>
    <w:qFormat/>
    <w:pPr>
      <w:widowControl w:val="false"/>
      <w:suppressLineNumbers/>
    </w:pPr>
    <w:rPr/>
  </w:style>
  <w:style w:type="paragraph" w:styleId="Coninuttabeluser">
    <w:name w:val="Conținut tabel (user)"/>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yperlink" Target="mailto:craiovacolibri@yahoo.com" TargetMode="External"/><Relationship Id="rId5" Type="http://schemas.openxmlformats.org/officeDocument/2006/relationships/hyperlink" Target="mailto:craiovacolibri@yahoo.com"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22</TotalTime>
  <Application>LibreOffice/26.2.5.2$Windows_X86_64 LibreOffice_project/cd7284b4cbbfeb507e630c1aac019f4157393acb</Application>
  <AppVersion>15.0000</AppVersion>
  <Pages>10</Pages>
  <Words>3609</Words>
  <Characters>22134</Characters>
  <CharactersWithSpaces>25984</CharactersWithSpaces>
  <Paragraphs>314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2026-08-26T14:01:30Z</dcterms:created>
  <dc:creator/>
  <dc:description/>
  <dc:language>ro-RO</dc:language>
  <cp:lastModifiedBy/>
  <cp:lastPrinted>2026-08-27T14:45:37Z</cp:lastPrinted>
  <dcterms:modified xsi:type="dcterms:W3CDTF">2026-08-28T11:52:01Z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